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A8C0F" w14:textId="77777777" w:rsidR="000B6D3B" w:rsidRPr="004F7252" w:rsidRDefault="000B6D3B" w:rsidP="000B6D3B">
      <w:pPr>
        <w:jc w:val="both"/>
        <w:rPr>
          <w:rFonts w:cs="Times New Roman"/>
        </w:rPr>
      </w:pPr>
    </w:p>
    <w:p w14:paraId="3E5C223F" w14:textId="77777777" w:rsidR="000B6D3B" w:rsidRPr="004F7252" w:rsidRDefault="000B6D3B" w:rsidP="000B6D3B">
      <w:pPr>
        <w:jc w:val="both"/>
        <w:rPr>
          <w:rFonts w:cs="Times New Roman"/>
        </w:rPr>
      </w:pPr>
    </w:p>
    <w:p w14:paraId="6F9A9C08" w14:textId="77777777" w:rsidR="000B6D3B" w:rsidRPr="004F7252" w:rsidRDefault="000B6D3B" w:rsidP="000B6D3B">
      <w:pPr>
        <w:ind w:left="420" w:right="92"/>
        <w:jc w:val="both"/>
        <w:rPr>
          <w:rFonts w:cs="Times New Roman"/>
          <w:i/>
          <w:iCs/>
          <w:sz w:val="20"/>
          <w:szCs w:val="20"/>
        </w:rPr>
      </w:pPr>
    </w:p>
    <w:p w14:paraId="1960D43F" w14:textId="77777777" w:rsidR="000B6D3B" w:rsidRPr="004F7252" w:rsidRDefault="000B6D3B" w:rsidP="000B6D3B">
      <w:pPr>
        <w:ind w:left="420" w:right="92"/>
        <w:jc w:val="both"/>
        <w:rPr>
          <w:rFonts w:cs="Times New Roman"/>
          <w:i/>
          <w:iCs/>
          <w:sz w:val="20"/>
          <w:szCs w:val="20"/>
        </w:rPr>
      </w:pPr>
    </w:p>
    <w:p w14:paraId="32BB39BF" w14:textId="77777777" w:rsidR="000B6D3B" w:rsidRPr="004F7252" w:rsidRDefault="000B6D3B" w:rsidP="000B6D3B">
      <w:pPr>
        <w:ind w:left="420" w:right="92"/>
        <w:jc w:val="both"/>
        <w:rPr>
          <w:rFonts w:cs="Times New Roman"/>
          <w:i/>
          <w:iCs/>
          <w:sz w:val="20"/>
          <w:szCs w:val="20"/>
        </w:rPr>
      </w:pPr>
    </w:p>
    <w:p w14:paraId="53A32B74" w14:textId="77777777" w:rsidR="000B6D3B" w:rsidRPr="004F7252" w:rsidRDefault="000B6D3B" w:rsidP="000B6D3B">
      <w:pPr>
        <w:ind w:left="420" w:right="92"/>
        <w:jc w:val="both"/>
        <w:rPr>
          <w:rFonts w:cs="Times New Roman"/>
          <w:i/>
          <w:iCs/>
          <w:sz w:val="20"/>
          <w:szCs w:val="20"/>
        </w:rPr>
      </w:pPr>
    </w:p>
    <w:p w14:paraId="35C6DD87" w14:textId="77777777" w:rsidR="000B6D3B" w:rsidRPr="004F7252" w:rsidRDefault="000B6D3B" w:rsidP="000B6D3B">
      <w:pPr>
        <w:ind w:left="420" w:right="92"/>
        <w:jc w:val="both"/>
        <w:rPr>
          <w:rFonts w:cs="Times New Roman"/>
          <w:i/>
          <w:iCs/>
          <w:sz w:val="20"/>
          <w:szCs w:val="20"/>
        </w:rPr>
      </w:pPr>
    </w:p>
    <w:p w14:paraId="292D5C76" w14:textId="77777777" w:rsidR="000B6D3B" w:rsidRPr="004F7252" w:rsidRDefault="000B6D3B" w:rsidP="000B6D3B">
      <w:pPr>
        <w:ind w:left="420" w:right="92"/>
        <w:jc w:val="both"/>
        <w:rPr>
          <w:rFonts w:cs="Times New Roman"/>
          <w:i/>
          <w:iCs/>
          <w:sz w:val="20"/>
          <w:szCs w:val="20"/>
        </w:rPr>
      </w:pPr>
    </w:p>
    <w:p w14:paraId="4C40DB3B" w14:textId="77777777" w:rsidR="000B6D3B" w:rsidRPr="00AC3250" w:rsidRDefault="000B6D3B" w:rsidP="000B6D3B">
      <w:pPr>
        <w:jc w:val="both"/>
        <w:rPr>
          <w:rFonts w:cs="Times New Roman"/>
          <w:b/>
          <w:sz w:val="40"/>
          <w:szCs w:val="40"/>
        </w:rPr>
      </w:pPr>
      <w:r w:rsidRPr="00AC3250">
        <w:rPr>
          <w:rFonts w:cs="Times New Roman"/>
          <w:b/>
          <w:sz w:val="40"/>
          <w:szCs w:val="40"/>
        </w:rPr>
        <w:t xml:space="preserve">IZVJEŠĆE POSLOVODSTVA DRUŠTVA </w:t>
      </w:r>
    </w:p>
    <w:p w14:paraId="6F274165" w14:textId="77777777" w:rsidR="000B6D3B" w:rsidRPr="00AC3250" w:rsidRDefault="000B6D3B" w:rsidP="000B6D3B">
      <w:pPr>
        <w:jc w:val="both"/>
        <w:rPr>
          <w:rFonts w:cs="Times New Roman"/>
          <w:b/>
          <w:sz w:val="40"/>
          <w:szCs w:val="40"/>
        </w:rPr>
      </w:pPr>
      <w:r w:rsidRPr="00AC3250">
        <w:rPr>
          <w:rFonts w:cs="Times New Roman"/>
          <w:b/>
          <w:sz w:val="40"/>
          <w:szCs w:val="40"/>
        </w:rPr>
        <w:t xml:space="preserve">PONIKVE VODA d.o.o. </w:t>
      </w:r>
    </w:p>
    <w:p w14:paraId="5004AD29" w14:textId="77777777" w:rsidR="000B6D3B" w:rsidRPr="00AC3250" w:rsidRDefault="000B6D3B" w:rsidP="000B6D3B">
      <w:pPr>
        <w:jc w:val="both"/>
        <w:rPr>
          <w:rFonts w:cs="Times New Roman"/>
          <w:b/>
          <w:sz w:val="40"/>
          <w:szCs w:val="40"/>
        </w:rPr>
      </w:pPr>
      <w:r w:rsidRPr="00AC3250">
        <w:rPr>
          <w:rFonts w:cs="Times New Roman"/>
          <w:b/>
          <w:sz w:val="40"/>
          <w:szCs w:val="40"/>
        </w:rPr>
        <w:t>ZA 20</w:t>
      </w:r>
      <w:r>
        <w:rPr>
          <w:rFonts w:cs="Times New Roman"/>
          <w:b/>
          <w:sz w:val="40"/>
          <w:szCs w:val="40"/>
        </w:rPr>
        <w:t>20.</w:t>
      </w:r>
      <w:r w:rsidRPr="00AC3250">
        <w:rPr>
          <w:rFonts w:cs="Times New Roman"/>
          <w:b/>
          <w:sz w:val="40"/>
          <w:szCs w:val="40"/>
        </w:rPr>
        <w:t xml:space="preserve"> GODINU</w:t>
      </w:r>
    </w:p>
    <w:p w14:paraId="5E73E645" w14:textId="77777777" w:rsidR="000B6D3B" w:rsidRPr="00AC3250" w:rsidRDefault="000B6D3B" w:rsidP="000B6D3B">
      <w:pPr>
        <w:jc w:val="both"/>
        <w:rPr>
          <w:rFonts w:cs="Times New Roman"/>
          <w:b/>
        </w:rPr>
      </w:pPr>
    </w:p>
    <w:p w14:paraId="1F55BFE2" w14:textId="77777777" w:rsidR="000B6D3B" w:rsidRPr="00AC3250" w:rsidRDefault="000B6D3B" w:rsidP="000B6D3B">
      <w:pPr>
        <w:jc w:val="both"/>
        <w:rPr>
          <w:rFonts w:cs="Times New Roman"/>
          <w:b/>
        </w:rPr>
      </w:pPr>
    </w:p>
    <w:p w14:paraId="37AEFA46" w14:textId="77777777" w:rsidR="000B6D3B" w:rsidRPr="00AC3250" w:rsidRDefault="000B6D3B" w:rsidP="000B6D3B">
      <w:pPr>
        <w:jc w:val="both"/>
        <w:rPr>
          <w:rFonts w:cs="Times New Roman"/>
          <w:b/>
        </w:rPr>
      </w:pPr>
    </w:p>
    <w:p w14:paraId="4EC4199C" w14:textId="77777777" w:rsidR="000B6D3B" w:rsidRPr="00AC3250" w:rsidRDefault="000B6D3B" w:rsidP="000B6D3B">
      <w:pPr>
        <w:jc w:val="both"/>
        <w:rPr>
          <w:rFonts w:cs="Times New Roman"/>
          <w:b/>
        </w:rPr>
      </w:pPr>
    </w:p>
    <w:p w14:paraId="541748C4" w14:textId="77777777" w:rsidR="000B6D3B" w:rsidRPr="00AC3250" w:rsidRDefault="000B6D3B" w:rsidP="000B6D3B">
      <w:pPr>
        <w:jc w:val="both"/>
        <w:rPr>
          <w:rFonts w:cs="Times New Roman"/>
          <w:b/>
        </w:rPr>
      </w:pPr>
    </w:p>
    <w:p w14:paraId="1C4F71E7" w14:textId="77777777" w:rsidR="000B6D3B" w:rsidRPr="00AC3250" w:rsidRDefault="000B6D3B" w:rsidP="000B6D3B">
      <w:pPr>
        <w:jc w:val="both"/>
        <w:rPr>
          <w:rFonts w:cs="Times New Roman"/>
          <w:b/>
        </w:rPr>
      </w:pPr>
    </w:p>
    <w:p w14:paraId="2ED17792" w14:textId="77777777" w:rsidR="000B6D3B" w:rsidRPr="00AC3250" w:rsidRDefault="000B6D3B" w:rsidP="000B6D3B">
      <w:pPr>
        <w:jc w:val="both"/>
        <w:rPr>
          <w:rFonts w:cs="Times New Roman"/>
          <w:b/>
        </w:rPr>
      </w:pPr>
    </w:p>
    <w:p w14:paraId="34E4EEE9" w14:textId="77777777" w:rsidR="000B6D3B" w:rsidRPr="00AC3250" w:rsidRDefault="000B6D3B" w:rsidP="000B6D3B">
      <w:pPr>
        <w:jc w:val="both"/>
        <w:rPr>
          <w:rFonts w:cs="Times New Roman"/>
          <w:b/>
        </w:rPr>
      </w:pPr>
    </w:p>
    <w:p w14:paraId="4DAE3670" w14:textId="77777777" w:rsidR="000B6D3B" w:rsidRPr="00AC3250" w:rsidRDefault="000B6D3B" w:rsidP="000B6D3B">
      <w:pPr>
        <w:jc w:val="both"/>
        <w:rPr>
          <w:rFonts w:cs="Times New Roman"/>
          <w:b/>
        </w:rPr>
      </w:pPr>
    </w:p>
    <w:p w14:paraId="2F6B3FB4" w14:textId="77777777" w:rsidR="000B6D3B" w:rsidRPr="00AC3250" w:rsidRDefault="000B6D3B" w:rsidP="000B6D3B">
      <w:pPr>
        <w:jc w:val="both"/>
        <w:rPr>
          <w:rFonts w:cs="Times New Roman"/>
          <w:b/>
        </w:rPr>
      </w:pPr>
    </w:p>
    <w:p w14:paraId="4077AE23" w14:textId="77777777" w:rsidR="000B6D3B" w:rsidRPr="00AC3250" w:rsidRDefault="000B6D3B" w:rsidP="000B6D3B">
      <w:pPr>
        <w:jc w:val="both"/>
        <w:rPr>
          <w:rFonts w:cs="Times New Roman"/>
          <w:b/>
        </w:rPr>
      </w:pPr>
    </w:p>
    <w:p w14:paraId="4A605513" w14:textId="77777777" w:rsidR="000B6D3B" w:rsidRPr="00AC3250" w:rsidRDefault="000B6D3B" w:rsidP="000B6D3B">
      <w:pPr>
        <w:jc w:val="both"/>
        <w:rPr>
          <w:rFonts w:cs="Times New Roman"/>
          <w:b/>
        </w:rPr>
      </w:pPr>
    </w:p>
    <w:p w14:paraId="6CAC8401" w14:textId="77777777" w:rsidR="000B6D3B" w:rsidRPr="00AC3250" w:rsidRDefault="000B6D3B" w:rsidP="000B6D3B">
      <w:pPr>
        <w:jc w:val="both"/>
        <w:rPr>
          <w:rFonts w:cs="Times New Roman"/>
          <w:b/>
        </w:rPr>
      </w:pPr>
    </w:p>
    <w:p w14:paraId="31510CDB" w14:textId="77777777" w:rsidR="000B6D3B" w:rsidRPr="00AC3250" w:rsidRDefault="000B6D3B" w:rsidP="000B6D3B">
      <w:pPr>
        <w:jc w:val="both"/>
        <w:rPr>
          <w:rFonts w:cs="Times New Roman"/>
          <w:b/>
        </w:rPr>
      </w:pPr>
    </w:p>
    <w:p w14:paraId="0D66F605" w14:textId="77777777" w:rsidR="000B6D3B" w:rsidRPr="00AC3250" w:rsidRDefault="000B6D3B" w:rsidP="000B6D3B">
      <w:pPr>
        <w:jc w:val="both"/>
        <w:rPr>
          <w:rFonts w:cs="Times New Roman"/>
          <w:b/>
        </w:rPr>
      </w:pPr>
    </w:p>
    <w:p w14:paraId="464DE007" w14:textId="77777777" w:rsidR="000B6D3B" w:rsidRDefault="000B6D3B" w:rsidP="000B6D3B">
      <w:pPr>
        <w:spacing w:after="160" w:line="256" w:lineRule="auto"/>
        <w:jc w:val="both"/>
        <w:rPr>
          <w:rFonts w:ascii="Calibri" w:eastAsia="Calibri" w:hAnsi="Calibri" w:cs="Calibri"/>
          <w:b/>
          <w:bCs/>
          <w:sz w:val="24"/>
          <w:szCs w:val="24"/>
        </w:rPr>
      </w:pPr>
      <w:r>
        <w:rPr>
          <w:rFonts w:ascii="Calibri" w:eastAsia="Calibri" w:hAnsi="Calibri" w:cs="Calibri"/>
          <w:b/>
          <w:bCs/>
          <w:sz w:val="24"/>
          <w:szCs w:val="24"/>
        </w:rPr>
        <w:lastRenderedPageBreak/>
        <w:t>1.  OSNOVNI PODACI O DRUŠTVU</w:t>
      </w:r>
    </w:p>
    <w:p w14:paraId="349847CF" w14:textId="77777777" w:rsidR="000B6D3B" w:rsidRDefault="000B6D3B" w:rsidP="000B6D3B">
      <w:pPr>
        <w:spacing w:after="160" w:line="256" w:lineRule="auto"/>
        <w:jc w:val="both"/>
        <w:rPr>
          <w:rFonts w:ascii="Calibri" w:eastAsia="Calibri" w:hAnsi="Calibri" w:cs="Calibri"/>
        </w:rPr>
      </w:pPr>
    </w:p>
    <w:p w14:paraId="51078CD1" w14:textId="77777777" w:rsidR="000B6D3B" w:rsidRDefault="000B6D3B" w:rsidP="000B6D3B">
      <w:pPr>
        <w:spacing w:after="0" w:line="240" w:lineRule="auto"/>
        <w:jc w:val="both"/>
        <w:rPr>
          <w:rFonts w:ascii="Calibri" w:eastAsia="Calibri" w:hAnsi="Calibri" w:cs="Calibri"/>
        </w:rPr>
      </w:pPr>
      <w:r>
        <w:rPr>
          <w:rFonts w:ascii="Calibri" w:eastAsia="Calibri" w:hAnsi="Calibri" w:cs="Calibri"/>
        </w:rPr>
        <w:t>Ponikve voda je društvo s ograničenom odgovornošću (dalje: Društvo) za komunalne djelatnosti.</w:t>
      </w:r>
    </w:p>
    <w:p w14:paraId="29B205BE" w14:textId="77777777" w:rsidR="000B6D3B" w:rsidRDefault="000B6D3B" w:rsidP="000B6D3B">
      <w:pPr>
        <w:spacing w:after="0" w:line="240" w:lineRule="auto"/>
        <w:jc w:val="both"/>
        <w:rPr>
          <w:rFonts w:ascii="Calibri" w:eastAsia="Calibri" w:hAnsi="Calibri" w:cs="Calibri"/>
        </w:rPr>
      </w:pPr>
      <w:r>
        <w:rPr>
          <w:rFonts w:ascii="Calibri" w:eastAsia="Calibri" w:hAnsi="Calibri" w:cs="Calibri"/>
        </w:rPr>
        <w:t>Prema postojećim podacima i dokumentima Društvo je registrirano 19.03.1960. godine u Okružnom privrednom sudu u Rijeci pod nazivom Komunalno poduzeće "Ponikve" Krk za obavljanje različitih komunalnih djelatnosti, sličnih kojima se i danas bavi. Od osnutka pa do danas Društvo je prošlo mnoge statusne i druge promjene. Udruživanjem 1986. godine s poduzećem "Komunalac" Omišalj, Društvo je proširilo djelokrug rada na čišćenje i održavanje javnih i zelenih površina, skupljanje, odvoz i zbrinjavanje komunalnog otpada.</w:t>
      </w:r>
    </w:p>
    <w:p w14:paraId="2D931F5E" w14:textId="77777777" w:rsidR="000B6D3B" w:rsidRDefault="000B6D3B" w:rsidP="000B6D3B">
      <w:pPr>
        <w:spacing w:after="0" w:line="240" w:lineRule="auto"/>
        <w:jc w:val="both"/>
        <w:rPr>
          <w:rFonts w:ascii="Calibri" w:eastAsia="Calibri" w:hAnsi="Calibri" w:cs="Calibri"/>
        </w:rPr>
      </w:pPr>
      <w:r>
        <w:rPr>
          <w:rFonts w:ascii="Calibri" w:eastAsia="Calibri" w:hAnsi="Calibri" w:cs="Calibri"/>
        </w:rPr>
        <w:t>Radi usklađivanja sa Zakonom o vodama bilo je potrebno sve djelatnosti kojima se Društvo bavilo, a koje nisu javna vodoopskrba i javna odvodnja izdvojiti iz poslovanja. Stoga su osnivači Ponikve d.o.o. odlučili da će postojeće društvo nastaviti obavljati djelatnost vodoopskrbe i javne odvodnje, a za obavljanje drugih djelatnosti osnovali su dva nova Društva.</w:t>
      </w:r>
    </w:p>
    <w:p w14:paraId="00272EB9" w14:textId="77777777" w:rsidR="000B6D3B" w:rsidRDefault="000B6D3B" w:rsidP="000B6D3B">
      <w:pPr>
        <w:spacing w:after="0" w:line="240" w:lineRule="auto"/>
        <w:jc w:val="both"/>
        <w:rPr>
          <w:rFonts w:ascii="Calibri" w:eastAsia="Calibri" w:hAnsi="Calibri" w:cs="Calibri"/>
        </w:rPr>
      </w:pPr>
      <w:r>
        <w:rPr>
          <w:rFonts w:ascii="Calibri" w:eastAsia="Calibri" w:hAnsi="Calibri" w:cs="Calibri"/>
        </w:rPr>
        <w:t>Rješenjem trgovačkog suda u Rijeci Tt-13/9542-2 od 31.12.2013. godine Društvo nastavlja poslovati pod nazivom Ponikve voda d.o.o. Krk.</w:t>
      </w:r>
    </w:p>
    <w:p w14:paraId="7A380CF3" w14:textId="77777777" w:rsidR="000B6D3B" w:rsidRDefault="000B6D3B" w:rsidP="000B6D3B">
      <w:pPr>
        <w:spacing w:after="0" w:line="240" w:lineRule="auto"/>
        <w:jc w:val="both"/>
        <w:rPr>
          <w:rFonts w:ascii="Calibri" w:eastAsia="Calibri" w:hAnsi="Calibri" w:cs="Calibri"/>
        </w:rPr>
      </w:pPr>
      <w:r>
        <w:rPr>
          <w:rFonts w:ascii="Calibri" w:eastAsia="Calibri" w:hAnsi="Calibri" w:cs="Calibri"/>
        </w:rPr>
        <w:t xml:space="preserve">Danas se radi o srednje velikom komunalnom društvu u 100 %-tnom vlasništvu svih jedinica lokalne samouprave otoka Krka. Temeljni upisani kapital Društva na dan 31. prosinca 2020. godine iznosi 322.395.200 kn. U prosincu 2020. godine Društvo je pokrenulo postupak </w:t>
      </w:r>
      <w:r>
        <w:rPr>
          <w:rFonts w:ascii="Calibri" w:eastAsia="Times New Roman" w:hAnsi="Calibri" w:cs="Calibri"/>
        </w:rPr>
        <w:t>povećanja temeljnog kapitala društva ulaganjem prava te je Rješenjem Trgovačkog suda od 17. veljače 2021. godine isti povećan i sada iznosi 378.463.000 kn.</w:t>
      </w:r>
    </w:p>
    <w:p w14:paraId="5355CAC0" w14:textId="77777777" w:rsidR="000B6D3B" w:rsidRDefault="000B6D3B" w:rsidP="000B6D3B">
      <w:pPr>
        <w:spacing w:after="0" w:line="240" w:lineRule="auto"/>
        <w:jc w:val="both"/>
        <w:rPr>
          <w:rFonts w:ascii="Calibri" w:eastAsia="Calibri" w:hAnsi="Calibri" w:cs="Calibri"/>
        </w:rPr>
      </w:pPr>
    </w:p>
    <w:p w14:paraId="1D50155F" w14:textId="77777777" w:rsidR="000B6D3B" w:rsidRDefault="000B6D3B" w:rsidP="000B6D3B">
      <w:pPr>
        <w:numPr>
          <w:ilvl w:val="1"/>
          <w:numId w:val="1"/>
        </w:numPr>
        <w:spacing w:after="0" w:line="240" w:lineRule="auto"/>
        <w:contextualSpacing/>
        <w:jc w:val="both"/>
        <w:rPr>
          <w:rFonts w:ascii="Calibri" w:eastAsia="Times New Roman" w:hAnsi="Calibri" w:cs="Calibri"/>
          <w:b/>
          <w:bCs/>
        </w:rPr>
      </w:pPr>
      <w:r>
        <w:rPr>
          <w:rFonts w:ascii="Calibri" w:eastAsia="Times New Roman" w:hAnsi="Calibri" w:cs="Calibri"/>
          <w:b/>
          <w:bCs/>
        </w:rPr>
        <w:t xml:space="preserve"> Djelatnost </w:t>
      </w:r>
    </w:p>
    <w:p w14:paraId="2450AD63" w14:textId="77777777" w:rsidR="000B6D3B" w:rsidRDefault="000B6D3B" w:rsidP="000B6D3B">
      <w:pPr>
        <w:spacing w:after="0" w:line="240" w:lineRule="auto"/>
        <w:ind w:left="360"/>
        <w:contextualSpacing/>
        <w:jc w:val="both"/>
        <w:rPr>
          <w:rFonts w:ascii="Calibri" w:eastAsia="Times New Roman" w:hAnsi="Calibri" w:cs="Calibri"/>
        </w:rPr>
      </w:pPr>
    </w:p>
    <w:p w14:paraId="46187A91" w14:textId="77777777" w:rsidR="000B6D3B" w:rsidRDefault="000B6D3B" w:rsidP="000B6D3B">
      <w:pPr>
        <w:spacing w:after="0" w:line="240" w:lineRule="auto"/>
        <w:ind w:right="92"/>
        <w:jc w:val="both"/>
        <w:rPr>
          <w:rFonts w:ascii="Calibri" w:eastAsia="Calibri" w:hAnsi="Calibri" w:cs="Calibri"/>
          <w:iCs/>
        </w:rPr>
      </w:pPr>
      <w:r>
        <w:rPr>
          <w:rFonts w:ascii="Calibri" w:eastAsia="Calibri" w:hAnsi="Calibri" w:cs="Calibri"/>
          <w:iCs/>
        </w:rPr>
        <w:t>Osnovne djelatnosti Društva su:</w:t>
      </w:r>
    </w:p>
    <w:p w14:paraId="3422F115" w14:textId="77777777" w:rsidR="000B6D3B" w:rsidRDefault="000B6D3B" w:rsidP="000B6D3B">
      <w:pPr>
        <w:numPr>
          <w:ilvl w:val="0"/>
          <w:numId w:val="2"/>
        </w:numPr>
        <w:spacing w:after="0" w:line="240" w:lineRule="auto"/>
        <w:ind w:right="92"/>
        <w:jc w:val="both"/>
        <w:rPr>
          <w:rFonts w:ascii="Calibri" w:eastAsia="Calibri" w:hAnsi="Calibri" w:cs="Calibri"/>
          <w:iCs/>
        </w:rPr>
      </w:pPr>
      <w:r>
        <w:rPr>
          <w:rFonts w:ascii="Calibri" w:eastAsia="Calibri" w:hAnsi="Calibri" w:cs="Calibri"/>
          <w:iCs/>
        </w:rPr>
        <w:t>proizvodnja i distribucija pitke vode</w:t>
      </w:r>
    </w:p>
    <w:p w14:paraId="3B877564" w14:textId="77777777" w:rsidR="000B6D3B" w:rsidRDefault="000B6D3B" w:rsidP="000B6D3B">
      <w:pPr>
        <w:numPr>
          <w:ilvl w:val="0"/>
          <w:numId w:val="2"/>
        </w:numPr>
        <w:spacing w:after="0" w:line="240" w:lineRule="auto"/>
        <w:ind w:right="92"/>
        <w:jc w:val="both"/>
        <w:rPr>
          <w:rFonts w:ascii="Calibri" w:eastAsia="Calibri" w:hAnsi="Calibri" w:cs="Calibri"/>
          <w:iCs/>
        </w:rPr>
      </w:pPr>
      <w:r>
        <w:rPr>
          <w:rFonts w:ascii="Calibri" w:eastAsia="Calibri" w:hAnsi="Calibri" w:cs="Calibri"/>
          <w:iCs/>
        </w:rPr>
        <w:t>odvodnja i pročišćavanje otpadnih voda.</w:t>
      </w:r>
    </w:p>
    <w:p w14:paraId="56AF5119" w14:textId="77777777" w:rsidR="000B6D3B" w:rsidRDefault="000B6D3B" w:rsidP="000B6D3B">
      <w:pPr>
        <w:spacing w:after="0" w:line="240" w:lineRule="auto"/>
        <w:ind w:left="780" w:right="92"/>
        <w:jc w:val="both"/>
        <w:rPr>
          <w:rFonts w:ascii="Calibri" w:eastAsia="Calibri" w:hAnsi="Calibri" w:cs="Calibri"/>
          <w:iCs/>
        </w:rPr>
      </w:pPr>
    </w:p>
    <w:p w14:paraId="1EC708C5" w14:textId="77777777" w:rsidR="000B6D3B" w:rsidRDefault="000B6D3B" w:rsidP="000B6D3B">
      <w:pPr>
        <w:spacing w:after="0" w:line="240" w:lineRule="auto"/>
        <w:ind w:right="92"/>
        <w:jc w:val="both"/>
        <w:rPr>
          <w:rFonts w:ascii="Calibri" w:eastAsia="Calibri" w:hAnsi="Calibri" w:cs="Calibri"/>
          <w:iCs/>
        </w:rPr>
      </w:pPr>
      <w:r>
        <w:rPr>
          <w:rFonts w:ascii="Calibri" w:eastAsia="Calibri" w:hAnsi="Calibri" w:cs="Calibri"/>
          <w:iCs/>
        </w:rPr>
        <w:t>Osim navedenih djelatnosti Društvo se bavi i montažama mjesnih cjevovoda (vode i kanalizacije), izradom vodovodnih i kanalizacijskih priključaka.</w:t>
      </w:r>
    </w:p>
    <w:p w14:paraId="54A83B7E" w14:textId="77777777" w:rsidR="000B6D3B" w:rsidRDefault="000B6D3B" w:rsidP="000B6D3B">
      <w:pPr>
        <w:spacing w:after="0" w:line="240" w:lineRule="auto"/>
        <w:ind w:right="92"/>
        <w:jc w:val="both"/>
        <w:rPr>
          <w:rFonts w:ascii="Calibri" w:eastAsia="Calibri" w:hAnsi="Calibri" w:cs="Calibri"/>
          <w:iCs/>
        </w:rPr>
      </w:pPr>
    </w:p>
    <w:p w14:paraId="54FF2704" w14:textId="77777777" w:rsidR="000B6D3B" w:rsidRDefault="000B6D3B" w:rsidP="000B6D3B">
      <w:pPr>
        <w:numPr>
          <w:ilvl w:val="1"/>
          <w:numId w:val="1"/>
        </w:numPr>
        <w:spacing w:after="0" w:line="240" w:lineRule="auto"/>
        <w:ind w:right="92"/>
        <w:contextualSpacing/>
        <w:jc w:val="both"/>
        <w:rPr>
          <w:rFonts w:ascii="Calibri" w:eastAsia="Times New Roman" w:hAnsi="Calibri" w:cs="Calibri"/>
          <w:b/>
          <w:bCs/>
          <w:iCs/>
        </w:rPr>
      </w:pPr>
      <w:r>
        <w:rPr>
          <w:rFonts w:ascii="Calibri" w:eastAsia="Times New Roman" w:hAnsi="Calibri" w:cs="Calibri"/>
          <w:b/>
          <w:bCs/>
          <w:iCs/>
        </w:rPr>
        <w:t xml:space="preserve"> Organi Društva</w:t>
      </w:r>
    </w:p>
    <w:p w14:paraId="5B88A0EA" w14:textId="77777777" w:rsidR="000B6D3B" w:rsidRDefault="000B6D3B" w:rsidP="000B6D3B">
      <w:pPr>
        <w:spacing w:after="0" w:line="240" w:lineRule="auto"/>
        <w:ind w:left="360" w:right="92"/>
        <w:contextualSpacing/>
        <w:jc w:val="both"/>
        <w:rPr>
          <w:rFonts w:ascii="Calibri" w:eastAsia="Times New Roman" w:hAnsi="Calibri" w:cs="Calibri"/>
          <w:iCs/>
        </w:rPr>
      </w:pPr>
    </w:p>
    <w:p w14:paraId="23921065" w14:textId="77777777" w:rsidR="000B6D3B" w:rsidRDefault="000B6D3B" w:rsidP="000B6D3B">
      <w:pPr>
        <w:spacing w:after="0" w:line="240" w:lineRule="auto"/>
        <w:ind w:right="92"/>
        <w:jc w:val="both"/>
        <w:rPr>
          <w:rFonts w:ascii="Calibri" w:eastAsia="Calibri" w:hAnsi="Calibri" w:cs="Calibri"/>
          <w:iCs/>
        </w:rPr>
      </w:pPr>
      <w:r>
        <w:rPr>
          <w:rFonts w:ascii="Calibri" w:eastAsia="Calibri" w:hAnsi="Calibri" w:cs="Calibri"/>
          <w:iCs/>
        </w:rPr>
        <w:t xml:space="preserve">Društvo ima skupštinu društva i upravu. </w:t>
      </w:r>
    </w:p>
    <w:p w14:paraId="358BAEEF" w14:textId="77777777" w:rsidR="000B6D3B" w:rsidRDefault="000B6D3B" w:rsidP="000B6D3B">
      <w:pPr>
        <w:spacing w:after="0" w:line="240" w:lineRule="auto"/>
        <w:ind w:right="92"/>
        <w:jc w:val="both"/>
        <w:rPr>
          <w:rFonts w:ascii="Calibri" w:eastAsia="Calibri" w:hAnsi="Calibri" w:cs="Calibri"/>
          <w:iCs/>
        </w:rPr>
      </w:pPr>
      <w:r>
        <w:rPr>
          <w:rFonts w:ascii="Calibri" w:eastAsia="Calibri" w:hAnsi="Calibri" w:cs="Calibri"/>
          <w:iCs/>
        </w:rPr>
        <w:t>Skupštinu društva čine članovi društva (osnivači) – jedinice lokalne samouprave, a njome predsjeda predsjednik. Predsjednik skupštine imenuje se na vrijeme od godinu dana.</w:t>
      </w:r>
    </w:p>
    <w:p w14:paraId="4AC2E229" w14:textId="77777777" w:rsidR="000B6D3B" w:rsidRDefault="000B6D3B" w:rsidP="000B6D3B">
      <w:pPr>
        <w:spacing w:after="0" w:line="240" w:lineRule="auto"/>
        <w:ind w:right="92"/>
        <w:jc w:val="both"/>
        <w:rPr>
          <w:rFonts w:ascii="Calibri" w:eastAsia="Calibri" w:hAnsi="Calibri" w:cs="Calibri"/>
          <w:iCs/>
        </w:rPr>
      </w:pPr>
      <w:r>
        <w:rPr>
          <w:rFonts w:ascii="Calibri" w:eastAsia="Calibri" w:hAnsi="Calibri" w:cs="Calibri"/>
          <w:iCs/>
        </w:rPr>
        <w:t>Svaki član skupštine ostvaruje prava i dužnosti sukladno veličini temeljnog uloga.</w:t>
      </w:r>
    </w:p>
    <w:p w14:paraId="316B28D8" w14:textId="77777777" w:rsidR="000B6D3B" w:rsidRDefault="000B6D3B" w:rsidP="000B6D3B">
      <w:pPr>
        <w:spacing w:after="0" w:line="240" w:lineRule="auto"/>
        <w:ind w:right="92"/>
        <w:jc w:val="both"/>
        <w:rPr>
          <w:rFonts w:ascii="Calibri" w:eastAsia="Calibri" w:hAnsi="Calibri" w:cs="Calibri"/>
          <w:iCs/>
        </w:rPr>
      </w:pPr>
      <w:r>
        <w:rPr>
          <w:rFonts w:ascii="Calibri" w:eastAsia="Calibri" w:hAnsi="Calibri" w:cs="Calibri"/>
          <w:iCs/>
        </w:rPr>
        <w:t>Skupština društva odlučuje o svim bitnim stvarima kao što su financijski izvještaji, godišnji planovi poslovanja, investicijski  i razvojni planovi, cijene komunalnih usluga i slično.</w:t>
      </w:r>
    </w:p>
    <w:p w14:paraId="770ABA29" w14:textId="77777777" w:rsidR="000B6D3B" w:rsidRDefault="000B6D3B" w:rsidP="000B6D3B">
      <w:pPr>
        <w:spacing w:after="0" w:line="240" w:lineRule="auto"/>
        <w:ind w:right="92"/>
        <w:jc w:val="both"/>
        <w:rPr>
          <w:rFonts w:ascii="Calibri" w:eastAsia="Calibri" w:hAnsi="Calibri" w:cs="Calibri"/>
          <w:iCs/>
        </w:rPr>
      </w:pPr>
      <w:r>
        <w:rPr>
          <w:rFonts w:ascii="Calibri" w:eastAsia="Calibri" w:hAnsi="Calibri" w:cs="Calibri"/>
          <w:iCs/>
        </w:rPr>
        <w:t>Poslove društva vodi uprava koja se sastoji od jednog direktora kojeg imenuje skupština. Uprava društva zastupa društvo, rukovodi i organizira proces rada i poslovanja te obavlja i druge poslove na temelju zakona i ovlaštenja.</w:t>
      </w:r>
    </w:p>
    <w:p w14:paraId="7194B2F9" w14:textId="77777777" w:rsidR="000B6D3B" w:rsidRDefault="000B6D3B" w:rsidP="000B6D3B">
      <w:pPr>
        <w:spacing w:after="0" w:line="240" w:lineRule="auto"/>
        <w:ind w:right="92"/>
        <w:jc w:val="both"/>
        <w:rPr>
          <w:rFonts w:ascii="Calibri" w:eastAsia="Calibri" w:hAnsi="Calibri" w:cs="Calibri"/>
          <w:iCs/>
        </w:rPr>
      </w:pPr>
      <w:r>
        <w:rPr>
          <w:rFonts w:ascii="Calibri" w:eastAsia="Calibri" w:hAnsi="Calibri" w:cs="Calibri"/>
          <w:iCs/>
        </w:rPr>
        <w:t>Direktor društva za razdoblje od 01.01.2018. do 31.12.2021. godine je mr.sc. Ivica Plišić, dipl.ing.građ.</w:t>
      </w:r>
    </w:p>
    <w:p w14:paraId="70A2F2DD" w14:textId="77777777" w:rsidR="000B6D3B" w:rsidRDefault="000B6D3B" w:rsidP="000B6D3B">
      <w:pPr>
        <w:spacing w:after="0" w:line="240" w:lineRule="auto"/>
        <w:ind w:right="92"/>
        <w:jc w:val="both"/>
        <w:rPr>
          <w:rFonts w:ascii="Calibri" w:eastAsia="Calibri" w:hAnsi="Calibri" w:cs="Calibri"/>
          <w:iCs/>
        </w:rPr>
      </w:pPr>
    </w:p>
    <w:p w14:paraId="364C0498" w14:textId="77777777" w:rsidR="000B6D3B" w:rsidRDefault="000B6D3B" w:rsidP="000B6D3B">
      <w:pPr>
        <w:numPr>
          <w:ilvl w:val="1"/>
          <w:numId w:val="1"/>
        </w:numPr>
        <w:spacing w:after="0" w:line="240" w:lineRule="auto"/>
        <w:ind w:right="92"/>
        <w:contextualSpacing/>
        <w:jc w:val="both"/>
        <w:rPr>
          <w:rFonts w:ascii="Calibri" w:eastAsia="Times New Roman" w:hAnsi="Calibri" w:cs="Calibri"/>
          <w:b/>
          <w:bCs/>
          <w:iCs/>
        </w:rPr>
      </w:pPr>
      <w:r>
        <w:rPr>
          <w:rFonts w:ascii="Calibri" w:eastAsia="Times New Roman" w:hAnsi="Calibri" w:cs="Calibri"/>
          <w:b/>
          <w:bCs/>
          <w:iCs/>
        </w:rPr>
        <w:t xml:space="preserve"> Organizacija i radnici</w:t>
      </w:r>
    </w:p>
    <w:p w14:paraId="1D58FBE2" w14:textId="77777777" w:rsidR="000B6D3B" w:rsidRDefault="000B6D3B" w:rsidP="000B6D3B">
      <w:pPr>
        <w:spacing w:after="0" w:line="240" w:lineRule="auto"/>
        <w:ind w:left="360" w:right="92"/>
        <w:contextualSpacing/>
        <w:jc w:val="both"/>
        <w:rPr>
          <w:rFonts w:ascii="Calibri" w:eastAsia="Times New Roman" w:hAnsi="Calibri" w:cs="Calibri"/>
          <w:iCs/>
        </w:rPr>
      </w:pPr>
    </w:p>
    <w:p w14:paraId="79C3DD92" w14:textId="77777777" w:rsidR="000B6D3B" w:rsidRDefault="000B6D3B" w:rsidP="000B6D3B">
      <w:pPr>
        <w:spacing w:after="0" w:line="240" w:lineRule="auto"/>
        <w:ind w:right="91"/>
        <w:jc w:val="both"/>
        <w:rPr>
          <w:rFonts w:ascii="Calibri" w:eastAsia="Calibri" w:hAnsi="Calibri" w:cs="Calibri"/>
          <w:iCs/>
        </w:rPr>
      </w:pPr>
      <w:r>
        <w:rPr>
          <w:rFonts w:ascii="Calibri" w:eastAsia="Calibri" w:hAnsi="Calibri" w:cs="Calibri"/>
          <w:iCs/>
        </w:rPr>
        <w:t>Društvo je organizirano tako da postoje dvije radne jedinice: RJ Voda i  RJ Kanalizacija.</w:t>
      </w:r>
    </w:p>
    <w:p w14:paraId="6A182D63" w14:textId="77777777" w:rsidR="000B6D3B" w:rsidRDefault="000B6D3B" w:rsidP="000B6D3B">
      <w:pPr>
        <w:spacing w:after="0" w:line="240" w:lineRule="auto"/>
        <w:ind w:right="91"/>
        <w:jc w:val="both"/>
        <w:rPr>
          <w:rFonts w:ascii="Calibri" w:eastAsia="Calibri" w:hAnsi="Calibri" w:cs="Calibri"/>
          <w:iCs/>
        </w:rPr>
      </w:pPr>
      <w:r>
        <w:rPr>
          <w:rFonts w:ascii="Calibri" w:eastAsia="Calibri" w:hAnsi="Calibri" w:cs="Calibri"/>
          <w:iCs/>
        </w:rPr>
        <w:t>Na dan 31. prosinca 2020. godine Društvo zapošljava 89 radnika.</w:t>
      </w:r>
    </w:p>
    <w:p w14:paraId="3C9218D7" w14:textId="3FD41437" w:rsidR="000B6D3B" w:rsidRDefault="000B6D3B" w:rsidP="000B6D3B">
      <w:pPr>
        <w:spacing w:after="0" w:line="240" w:lineRule="auto"/>
        <w:ind w:right="91"/>
        <w:jc w:val="both"/>
        <w:rPr>
          <w:rFonts w:ascii="Calibri" w:eastAsia="Calibri" w:hAnsi="Calibri" w:cs="Calibri"/>
          <w:iCs/>
        </w:rPr>
      </w:pPr>
    </w:p>
    <w:p w14:paraId="46185D3E" w14:textId="2FBDF681" w:rsidR="000B6D3B" w:rsidRDefault="000B6D3B" w:rsidP="000B6D3B">
      <w:pPr>
        <w:spacing w:after="0" w:line="240" w:lineRule="auto"/>
        <w:ind w:right="91"/>
        <w:jc w:val="both"/>
        <w:rPr>
          <w:rFonts w:ascii="Calibri" w:eastAsia="Calibri" w:hAnsi="Calibri" w:cs="Calibri"/>
          <w:iCs/>
        </w:rPr>
      </w:pPr>
    </w:p>
    <w:p w14:paraId="25A68AAE" w14:textId="77777777" w:rsidR="000B6D3B" w:rsidRDefault="000B6D3B" w:rsidP="000B6D3B">
      <w:pPr>
        <w:spacing w:after="0" w:line="240" w:lineRule="auto"/>
        <w:ind w:right="91"/>
        <w:jc w:val="both"/>
        <w:rPr>
          <w:rFonts w:ascii="Calibri" w:eastAsia="Calibri" w:hAnsi="Calibri" w:cs="Calibri"/>
          <w:iCs/>
        </w:rPr>
      </w:pPr>
    </w:p>
    <w:p w14:paraId="4BCFBCD5" w14:textId="77777777" w:rsidR="000B6D3B" w:rsidRDefault="000B6D3B" w:rsidP="000B6D3B">
      <w:pPr>
        <w:numPr>
          <w:ilvl w:val="1"/>
          <w:numId w:val="1"/>
        </w:numPr>
        <w:spacing w:after="0" w:line="240" w:lineRule="auto"/>
        <w:ind w:right="91"/>
        <w:contextualSpacing/>
        <w:jc w:val="both"/>
        <w:rPr>
          <w:rFonts w:ascii="Calibri" w:eastAsia="Times New Roman" w:hAnsi="Calibri" w:cs="Calibri"/>
          <w:b/>
          <w:bCs/>
          <w:iCs/>
        </w:rPr>
      </w:pPr>
      <w:r>
        <w:rPr>
          <w:rFonts w:ascii="Calibri" w:eastAsia="Times New Roman" w:hAnsi="Calibri" w:cs="Calibri"/>
          <w:b/>
          <w:bCs/>
          <w:iCs/>
        </w:rPr>
        <w:lastRenderedPageBreak/>
        <w:t xml:space="preserve"> Program kvalitete</w:t>
      </w:r>
    </w:p>
    <w:p w14:paraId="7B8C1137" w14:textId="77777777" w:rsidR="000B6D3B" w:rsidRDefault="000B6D3B" w:rsidP="000B6D3B">
      <w:pPr>
        <w:spacing w:after="0" w:line="240" w:lineRule="auto"/>
        <w:rPr>
          <w:rFonts w:ascii="Calibri" w:eastAsia="Calibri" w:hAnsi="Calibri" w:cs="Calibri"/>
        </w:rPr>
      </w:pPr>
    </w:p>
    <w:p w14:paraId="477D6304" w14:textId="77777777" w:rsidR="000B6D3B" w:rsidRDefault="000B6D3B" w:rsidP="000B6D3B">
      <w:pPr>
        <w:numPr>
          <w:ilvl w:val="2"/>
          <w:numId w:val="1"/>
        </w:numPr>
        <w:spacing w:after="0" w:line="240" w:lineRule="auto"/>
        <w:contextualSpacing/>
        <w:rPr>
          <w:rFonts w:ascii="Calibri" w:eastAsia="Times New Roman" w:hAnsi="Calibri" w:cs="Calibri"/>
          <w:b/>
        </w:rPr>
      </w:pPr>
      <w:r>
        <w:rPr>
          <w:rFonts w:ascii="Calibri" w:eastAsia="Times New Roman" w:hAnsi="Calibri" w:cs="Calibri"/>
          <w:b/>
        </w:rPr>
        <w:t>HRN EN ISO 9001:2015</w:t>
      </w:r>
    </w:p>
    <w:p w14:paraId="304C69FE" w14:textId="77777777" w:rsidR="000B6D3B" w:rsidRDefault="000B6D3B" w:rsidP="000B6D3B">
      <w:pPr>
        <w:spacing w:after="0" w:line="240" w:lineRule="auto"/>
        <w:jc w:val="both"/>
        <w:rPr>
          <w:rFonts w:ascii="Calibri" w:eastAsia="Calibri" w:hAnsi="Calibri" w:cs="Calibri"/>
        </w:rPr>
      </w:pPr>
    </w:p>
    <w:p w14:paraId="7E8B116F" w14:textId="77777777" w:rsidR="000B6D3B" w:rsidRDefault="000B6D3B" w:rsidP="000B6D3B">
      <w:pPr>
        <w:spacing w:after="0" w:line="240" w:lineRule="auto"/>
        <w:jc w:val="both"/>
        <w:rPr>
          <w:rFonts w:ascii="Calibri" w:eastAsia="Calibri" w:hAnsi="Calibri" w:cs="Calibri"/>
        </w:rPr>
      </w:pPr>
      <w:r>
        <w:rPr>
          <w:rFonts w:ascii="Calibri" w:eastAsia="Calibri" w:hAnsi="Calibri" w:cs="Calibri"/>
        </w:rPr>
        <w:t>Sustav upravljanja kvalitetom prvi put je certificiran 7. lipnja 2002. godine .</w:t>
      </w:r>
    </w:p>
    <w:p w14:paraId="3828B933" w14:textId="77777777" w:rsidR="000B6D3B" w:rsidRDefault="000B6D3B" w:rsidP="000B6D3B">
      <w:pPr>
        <w:spacing w:after="0" w:line="240" w:lineRule="auto"/>
        <w:jc w:val="both"/>
        <w:rPr>
          <w:rFonts w:ascii="Calibri" w:eastAsia="Calibri" w:hAnsi="Calibri" w:cs="Calibri"/>
        </w:rPr>
      </w:pPr>
      <w:r>
        <w:rPr>
          <w:rFonts w:ascii="Calibri" w:eastAsia="Calibri" w:hAnsi="Calibri" w:cs="Calibri"/>
        </w:rPr>
        <w:t>Ponikve voda d.o.o. se recertificirala 2017. godine prema novoj normi ISO 9001:2015</w:t>
      </w:r>
    </w:p>
    <w:p w14:paraId="0D55A655" w14:textId="77777777" w:rsidR="000B6D3B" w:rsidRDefault="000B6D3B" w:rsidP="000B6D3B">
      <w:pPr>
        <w:spacing w:after="0" w:line="240" w:lineRule="auto"/>
        <w:jc w:val="both"/>
        <w:rPr>
          <w:rFonts w:ascii="Calibri" w:eastAsia="Calibri" w:hAnsi="Calibri" w:cs="Calibri"/>
        </w:rPr>
      </w:pPr>
      <w:r>
        <w:rPr>
          <w:rFonts w:ascii="Calibri" w:eastAsia="Calibri" w:hAnsi="Calibri" w:cs="Calibri"/>
        </w:rPr>
        <w:t>Tijekom 2017. godine implementirali su se zahtjevi nove norme, revidirane su radne upute, procedure i obrasci prema novim zahtjevima norme.</w:t>
      </w:r>
    </w:p>
    <w:p w14:paraId="29DAC553" w14:textId="77777777" w:rsidR="000B6D3B" w:rsidRDefault="000B6D3B" w:rsidP="000B6D3B">
      <w:pPr>
        <w:spacing w:after="0" w:line="240" w:lineRule="auto"/>
        <w:jc w:val="both"/>
        <w:rPr>
          <w:rFonts w:ascii="Calibri" w:eastAsia="Calibri" w:hAnsi="Calibri" w:cs="Calibri"/>
        </w:rPr>
      </w:pPr>
      <w:r>
        <w:rPr>
          <w:rFonts w:ascii="Calibri" w:eastAsia="Calibri" w:hAnsi="Calibri" w:cs="Calibri"/>
        </w:rPr>
        <w:t xml:space="preserve">Izrađena je Upravina ocjena Društva prema novoj normi u kojoj je obrađeno postojeće stanje, analiza, problemi i prijedlozi za poboljšanja. </w:t>
      </w:r>
    </w:p>
    <w:p w14:paraId="48D0CEB4" w14:textId="77777777" w:rsidR="000B6D3B" w:rsidRDefault="000B6D3B" w:rsidP="000B6D3B">
      <w:pPr>
        <w:spacing w:after="0" w:line="240" w:lineRule="auto"/>
        <w:jc w:val="both"/>
        <w:rPr>
          <w:rFonts w:ascii="Calibri" w:eastAsia="Calibri" w:hAnsi="Calibri" w:cs="Calibri"/>
        </w:rPr>
      </w:pPr>
      <w:r>
        <w:rPr>
          <w:rFonts w:ascii="Calibri" w:eastAsia="Calibri" w:hAnsi="Calibri" w:cs="Calibri"/>
        </w:rPr>
        <w:t>Educirani auditori proveli su interne audite paralelno u sva tri sustava prema definiranom Planu audita.</w:t>
      </w:r>
    </w:p>
    <w:p w14:paraId="0D96A928" w14:textId="77777777" w:rsidR="000B6D3B" w:rsidRDefault="000B6D3B" w:rsidP="000B6D3B">
      <w:pPr>
        <w:spacing w:after="0" w:line="240" w:lineRule="auto"/>
        <w:jc w:val="both"/>
        <w:rPr>
          <w:rFonts w:ascii="Calibri" w:eastAsia="Calibri" w:hAnsi="Calibri" w:cs="Calibri"/>
        </w:rPr>
      </w:pPr>
      <w:r>
        <w:rPr>
          <w:rFonts w:ascii="Calibri" w:eastAsia="Calibri" w:hAnsi="Calibri" w:cs="Calibri"/>
        </w:rPr>
        <w:t xml:space="preserve">Konstatirano je da svi dokumenti ostaju važeći i primjenjivi u tvrtkama Ponikve voda, Ponikve eko otok Krk  i Ponikve usluga. </w:t>
      </w:r>
    </w:p>
    <w:p w14:paraId="67E42E3C" w14:textId="77777777" w:rsidR="000B6D3B" w:rsidRDefault="000B6D3B" w:rsidP="000B6D3B">
      <w:pPr>
        <w:spacing w:after="0" w:line="240" w:lineRule="auto"/>
        <w:jc w:val="both"/>
        <w:rPr>
          <w:rFonts w:ascii="Calibri" w:eastAsia="Calibri" w:hAnsi="Calibri" w:cs="Calibri"/>
        </w:rPr>
      </w:pPr>
      <w:r>
        <w:rPr>
          <w:rFonts w:ascii="Calibri" w:eastAsia="Calibri" w:hAnsi="Calibri" w:cs="Calibri"/>
        </w:rPr>
        <w:t xml:space="preserve">Politika kvalitete je također primjenjiva na sve tri organizacije za sve tri certificirane norme (ISO 9001, ISO 14001 i HACCP) te sadrži opredjeljenja za istim zahtjevima u vodoopskrbi, odvodnji i gospodarenju otpadom. </w:t>
      </w:r>
    </w:p>
    <w:p w14:paraId="37CE914F" w14:textId="77777777" w:rsidR="000B6D3B" w:rsidRDefault="000B6D3B" w:rsidP="000B6D3B">
      <w:pPr>
        <w:spacing w:after="0" w:line="240" w:lineRule="auto"/>
        <w:jc w:val="both"/>
        <w:rPr>
          <w:rFonts w:ascii="Calibri" w:eastAsia="Calibri" w:hAnsi="Calibri" w:cs="Calibri"/>
        </w:rPr>
      </w:pPr>
      <w:r>
        <w:rPr>
          <w:rFonts w:ascii="Calibri" w:eastAsia="Calibri" w:hAnsi="Calibri" w:cs="Calibri"/>
        </w:rPr>
        <w:t>Promjene unutar Poslovnika kvalitete i zaštite okoliša provedene su sukladno proceduri PR.03. Upravljanje dokumentacijom i podacima.</w:t>
      </w:r>
    </w:p>
    <w:p w14:paraId="0AA9518E" w14:textId="77777777" w:rsidR="000B6D3B" w:rsidRDefault="000B6D3B" w:rsidP="000B6D3B">
      <w:pPr>
        <w:spacing w:after="0" w:line="240" w:lineRule="auto"/>
        <w:jc w:val="both"/>
        <w:rPr>
          <w:rFonts w:ascii="Calibri" w:eastAsia="Calibri" w:hAnsi="Calibri" w:cs="Calibri"/>
        </w:rPr>
      </w:pPr>
      <w:r>
        <w:rPr>
          <w:rFonts w:ascii="Calibri" w:eastAsia="Calibri" w:hAnsi="Calibri" w:cs="Calibri"/>
        </w:rPr>
        <w:t xml:space="preserve">Recertifikacijski audit održao se od 04. - 06. lipnja 2020. godine sukladno zahtjevima norme ISO 9001:2015 prema planu i </w:t>
      </w:r>
      <w:r>
        <w:rPr>
          <w:rFonts w:ascii="Calibri" w:eastAsia="Calibri" w:hAnsi="Calibri" w:cs="Calibri"/>
          <w:b/>
        </w:rPr>
        <w:t>nisu utvrđene nesukladnosti</w:t>
      </w:r>
      <w:r>
        <w:rPr>
          <w:rFonts w:ascii="Calibri" w:eastAsia="Calibri" w:hAnsi="Calibri" w:cs="Calibri"/>
        </w:rPr>
        <w:t>.</w:t>
      </w:r>
    </w:p>
    <w:p w14:paraId="1CAA5D80" w14:textId="77777777" w:rsidR="000B6D3B" w:rsidRDefault="000B6D3B" w:rsidP="000B6D3B">
      <w:pPr>
        <w:spacing w:after="0" w:line="240" w:lineRule="auto"/>
        <w:jc w:val="both"/>
        <w:rPr>
          <w:rFonts w:ascii="Calibri" w:eastAsia="Calibri" w:hAnsi="Calibri" w:cs="Calibri"/>
        </w:rPr>
      </w:pPr>
    </w:p>
    <w:p w14:paraId="4ED1B1B8" w14:textId="77777777" w:rsidR="000B6D3B" w:rsidRDefault="000B6D3B" w:rsidP="000B6D3B">
      <w:pPr>
        <w:spacing w:after="0" w:line="240" w:lineRule="auto"/>
        <w:jc w:val="both"/>
        <w:rPr>
          <w:rFonts w:ascii="Calibri" w:eastAsia="Calibri" w:hAnsi="Calibri" w:cs="Calibri"/>
        </w:rPr>
      </w:pPr>
      <w:r>
        <w:rPr>
          <w:rFonts w:ascii="Calibri" w:eastAsia="Calibri" w:hAnsi="Calibri" w:cs="Calibri"/>
        </w:rPr>
        <w:t xml:space="preserve">„Sustav upravljanja kvalitetom uveden je u cijelu organizaciju i na sve lokacije. </w:t>
      </w:r>
    </w:p>
    <w:p w14:paraId="5D9BBEDA" w14:textId="77777777" w:rsidR="000B6D3B" w:rsidRDefault="000B6D3B" w:rsidP="000B6D3B">
      <w:pPr>
        <w:spacing w:after="0" w:line="240" w:lineRule="auto"/>
        <w:jc w:val="both"/>
        <w:rPr>
          <w:rFonts w:ascii="Calibri" w:eastAsia="Calibri" w:hAnsi="Calibri" w:cs="Calibri"/>
        </w:rPr>
      </w:pPr>
      <w:r>
        <w:rPr>
          <w:rFonts w:ascii="Calibri" w:eastAsia="Calibri" w:hAnsi="Calibri" w:cs="Calibri"/>
        </w:rPr>
        <w:t>Sustav je primjeren prirodi, vrsti i potrebama organizacije, integriran sa sustavom upravljanja zaštitom okoliša.</w:t>
      </w:r>
    </w:p>
    <w:p w14:paraId="3AF59753" w14:textId="77777777" w:rsidR="000B6D3B" w:rsidRDefault="000B6D3B" w:rsidP="000B6D3B">
      <w:pPr>
        <w:spacing w:after="0" w:line="240" w:lineRule="auto"/>
        <w:jc w:val="both"/>
        <w:rPr>
          <w:rFonts w:ascii="Calibri" w:eastAsia="Calibri" w:hAnsi="Calibri" w:cs="Calibri"/>
        </w:rPr>
      </w:pPr>
      <w:r>
        <w:rPr>
          <w:rFonts w:ascii="Calibri" w:eastAsia="Calibri" w:hAnsi="Calibri" w:cs="Calibri"/>
        </w:rPr>
        <w:t>Sustav učinkovito donosi elemente planiranja i realizacije ciljeva uz operacionalizaciju istih.</w:t>
      </w:r>
    </w:p>
    <w:p w14:paraId="7ABB14BB" w14:textId="77777777" w:rsidR="000B6D3B" w:rsidRDefault="000B6D3B" w:rsidP="000B6D3B">
      <w:pPr>
        <w:spacing w:after="0" w:line="240" w:lineRule="auto"/>
        <w:jc w:val="both"/>
        <w:rPr>
          <w:rFonts w:ascii="Calibri" w:eastAsia="Calibri" w:hAnsi="Calibri" w:cs="Calibri"/>
        </w:rPr>
      </w:pPr>
      <w:r>
        <w:rPr>
          <w:rFonts w:ascii="Calibri" w:eastAsia="Calibri" w:hAnsi="Calibri" w:cs="Calibri"/>
        </w:rPr>
        <w:t>Organizacija je prikazala uspostavljanje i nadzor primjerenih ključnih performansi ciljeva te nadzire napredak prema njihovom ostvarivanju.</w:t>
      </w:r>
    </w:p>
    <w:p w14:paraId="76173202" w14:textId="77777777" w:rsidR="000B6D3B" w:rsidRDefault="000B6D3B" w:rsidP="000B6D3B">
      <w:pPr>
        <w:spacing w:after="0" w:line="240" w:lineRule="auto"/>
        <w:jc w:val="both"/>
        <w:rPr>
          <w:rFonts w:ascii="Calibri" w:eastAsia="Calibri" w:hAnsi="Calibri" w:cs="Calibri"/>
        </w:rPr>
      </w:pPr>
      <w:r>
        <w:rPr>
          <w:rFonts w:ascii="Calibri" w:eastAsia="Calibri" w:hAnsi="Calibri" w:cs="Calibri"/>
        </w:rPr>
        <w:t>Tijekom procesa audita sustav upravljanja je prikazao ukupnu usklađenost sa zahtjevima standarda audita.</w:t>
      </w:r>
    </w:p>
    <w:p w14:paraId="72E65C1A" w14:textId="77777777" w:rsidR="000B6D3B" w:rsidRDefault="000B6D3B" w:rsidP="000B6D3B">
      <w:pPr>
        <w:spacing w:after="0" w:line="240" w:lineRule="auto"/>
        <w:jc w:val="both"/>
        <w:rPr>
          <w:rFonts w:ascii="Calibri" w:eastAsia="Calibri" w:hAnsi="Calibri" w:cs="Calibri"/>
        </w:rPr>
      </w:pPr>
      <w:r>
        <w:rPr>
          <w:rFonts w:ascii="Calibri" w:eastAsia="Calibri" w:hAnsi="Calibri" w:cs="Calibri"/>
        </w:rPr>
        <w:t>Tijekom recertifikacijskog audita nisu utvrđene nesukladnosti.“</w:t>
      </w:r>
    </w:p>
    <w:p w14:paraId="0A684883" w14:textId="77777777" w:rsidR="000B6D3B" w:rsidRDefault="000B6D3B" w:rsidP="000B6D3B">
      <w:pPr>
        <w:spacing w:after="0" w:line="240" w:lineRule="auto"/>
        <w:jc w:val="both"/>
        <w:rPr>
          <w:rFonts w:ascii="Calibri" w:eastAsia="Calibri" w:hAnsi="Calibri" w:cs="Calibri"/>
        </w:rPr>
      </w:pPr>
    </w:p>
    <w:p w14:paraId="5DB26ED4" w14:textId="77777777" w:rsidR="000B6D3B" w:rsidRDefault="000B6D3B" w:rsidP="000B6D3B">
      <w:pPr>
        <w:spacing w:after="0" w:line="240" w:lineRule="auto"/>
        <w:jc w:val="both"/>
        <w:rPr>
          <w:rFonts w:ascii="Calibri" w:eastAsia="Calibri" w:hAnsi="Calibri" w:cs="Calibri"/>
        </w:rPr>
      </w:pPr>
      <w:r>
        <w:rPr>
          <w:rFonts w:ascii="Calibri" w:eastAsia="Calibri" w:hAnsi="Calibri" w:cs="Calibri"/>
        </w:rPr>
        <w:t>Broj certifikata: HR007624 Verzija 1, datum izdavanja 15. lipanj 2020. za opseg „vodoopskrba i odvodnja“</w:t>
      </w:r>
    </w:p>
    <w:p w14:paraId="21529F6C" w14:textId="77777777" w:rsidR="000B6D3B" w:rsidRDefault="000B6D3B" w:rsidP="000B6D3B">
      <w:pPr>
        <w:spacing w:after="0" w:line="240" w:lineRule="auto"/>
        <w:jc w:val="both"/>
        <w:rPr>
          <w:rFonts w:ascii="Calibri" w:eastAsia="Calibri" w:hAnsi="Calibri" w:cs="Calibri"/>
        </w:rPr>
      </w:pPr>
    </w:p>
    <w:p w14:paraId="79BAB4FE" w14:textId="77777777" w:rsidR="000B6D3B" w:rsidRDefault="000B6D3B" w:rsidP="000B6D3B">
      <w:pPr>
        <w:spacing w:after="0" w:line="240" w:lineRule="auto"/>
        <w:jc w:val="both"/>
        <w:rPr>
          <w:rFonts w:ascii="Calibri" w:eastAsia="Calibri" w:hAnsi="Calibri" w:cs="Calibri"/>
        </w:rPr>
      </w:pPr>
    </w:p>
    <w:p w14:paraId="0ABE6E69" w14:textId="77777777" w:rsidR="000B6D3B" w:rsidRDefault="000B6D3B" w:rsidP="000B6D3B">
      <w:pPr>
        <w:numPr>
          <w:ilvl w:val="2"/>
          <w:numId w:val="1"/>
        </w:numPr>
        <w:spacing w:after="0" w:line="240" w:lineRule="auto"/>
        <w:jc w:val="both"/>
        <w:rPr>
          <w:rFonts w:ascii="Calibri" w:eastAsia="Calibri" w:hAnsi="Calibri" w:cs="Calibri"/>
          <w:b/>
        </w:rPr>
      </w:pPr>
      <w:r>
        <w:rPr>
          <w:rFonts w:ascii="Calibri" w:eastAsia="Calibri" w:hAnsi="Calibri" w:cs="Calibri"/>
          <w:b/>
        </w:rPr>
        <w:t>HRN EN ISO 14001:2015</w:t>
      </w:r>
    </w:p>
    <w:p w14:paraId="469E689E" w14:textId="77777777" w:rsidR="000B6D3B" w:rsidRDefault="000B6D3B" w:rsidP="000B6D3B">
      <w:pPr>
        <w:spacing w:after="0" w:line="240" w:lineRule="auto"/>
        <w:jc w:val="both"/>
        <w:rPr>
          <w:rFonts w:ascii="Calibri" w:eastAsia="Calibri" w:hAnsi="Calibri" w:cs="Calibri"/>
        </w:rPr>
      </w:pPr>
    </w:p>
    <w:p w14:paraId="46205143" w14:textId="77777777" w:rsidR="000B6D3B" w:rsidRDefault="000B6D3B" w:rsidP="000B6D3B">
      <w:pPr>
        <w:spacing w:after="0" w:line="240" w:lineRule="auto"/>
        <w:jc w:val="both"/>
        <w:rPr>
          <w:rFonts w:ascii="Calibri" w:eastAsia="Calibri" w:hAnsi="Calibri" w:cs="Calibri"/>
        </w:rPr>
      </w:pPr>
      <w:r>
        <w:rPr>
          <w:rFonts w:ascii="Calibri" w:eastAsia="Calibri" w:hAnsi="Calibri" w:cs="Calibri"/>
        </w:rPr>
        <w:t xml:space="preserve">Sustav zaštite okoliša certificiran  je prvi put 18. srpnja 2011. godine. </w:t>
      </w:r>
    </w:p>
    <w:p w14:paraId="60DA4557" w14:textId="77777777" w:rsidR="000B6D3B" w:rsidRDefault="000B6D3B" w:rsidP="000B6D3B">
      <w:pPr>
        <w:spacing w:after="0" w:line="240" w:lineRule="auto"/>
        <w:jc w:val="both"/>
        <w:rPr>
          <w:rFonts w:ascii="Calibri" w:eastAsia="Calibri" w:hAnsi="Calibri" w:cs="Calibri"/>
        </w:rPr>
      </w:pPr>
      <w:r>
        <w:rPr>
          <w:rFonts w:ascii="Calibri" w:eastAsia="Calibri" w:hAnsi="Calibri" w:cs="Calibri"/>
        </w:rPr>
        <w:t>Ponikve voda d.o.o. se recertificirala 2017. godine prema novoj normi ISO 14001:2015</w:t>
      </w:r>
    </w:p>
    <w:p w14:paraId="30A2F7D1" w14:textId="77777777" w:rsidR="000B6D3B" w:rsidRDefault="000B6D3B" w:rsidP="000B6D3B">
      <w:pPr>
        <w:spacing w:after="0" w:line="240" w:lineRule="auto"/>
        <w:jc w:val="both"/>
        <w:rPr>
          <w:rFonts w:ascii="Calibri" w:eastAsia="Calibri" w:hAnsi="Calibri" w:cs="Calibri"/>
        </w:rPr>
      </w:pPr>
      <w:r>
        <w:rPr>
          <w:rFonts w:ascii="Calibri" w:eastAsia="Calibri" w:hAnsi="Calibri" w:cs="Calibri"/>
        </w:rPr>
        <w:t xml:space="preserve">Izrađena je sva potrebna dokumentacija, educirani zaposlenici te su osposobljeni auditori i vanjski suradnik proveli interne audite prema planu. </w:t>
      </w:r>
    </w:p>
    <w:p w14:paraId="7709E543" w14:textId="77777777" w:rsidR="000B6D3B" w:rsidRDefault="000B6D3B" w:rsidP="000B6D3B">
      <w:pPr>
        <w:spacing w:after="0" w:line="240" w:lineRule="auto"/>
        <w:jc w:val="both"/>
        <w:rPr>
          <w:rFonts w:ascii="Calibri" w:eastAsia="Calibri" w:hAnsi="Calibri" w:cs="Calibri"/>
        </w:rPr>
      </w:pPr>
      <w:r>
        <w:rPr>
          <w:rFonts w:ascii="Calibri" w:eastAsia="Calibri" w:hAnsi="Calibri" w:cs="Calibri"/>
        </w:rPr>
        <w:t>Opseg djelatnosti ostao je isti: „vodoopskrba i odvodnja“.</w:t>
      </w:r>
    </w:p>
    <w:p w14:paraId="51AD4176" w14:textId="77777777" w:rsidR="000B6D3B" w:rsidRDefault="000B6D3B" w:rsidP="000B6D3B">
      <w:pPr>
        <w:spacing w:after="0" w:line="240" w:lineRule="auto"/>
        <w:jc w:val="both"/>
        <w:rPr>
          <w:rFonts w:ascii="Calibri" w:eastAsia="Calibri" w:hAnsi="Calibri" w:cs="Calibri"/>
        </w:rPr>
      </w:pPr>
      <w:r>
        <w:rPr>
          <w:rFonts w:ascii="Calibri" w:eastAsia="Calibri" w:hAnsi="Calibri" w:cs="Calibri"/>
        </w:rPr>
        <w:t xml:space="preserve">Recertifikacijski audit sustava zaštite okoliša prema novoj normi ISO 14001:2015 proveden je 04. – 06. lipnja 2020. prema planu i </w:t>
      </w:r>
      <w:r>
        <w:rPr>
          <w:rFonts w:ascii="Calibri" w:eastAsia="Calibri" w:hAnsi="Calibri" w:cs="Calibri"/>
          <w:b/>
        </w:rPr>
        <w:t>nisu utvrđene nesukladnosti</w:t>
      </w:r>
      <w:r>
        <w:rPr>
          <w:rFonts w:ascii="Calibri" w:eastAsia="Calibri" w:hAnsi="Calibri" w:cs="Calibri"/>
        </w:rPr>
        <w:t>.</w:t>
      </w:r>
    </w:p>
    <w:p w14:paraId="7EB52B19" w14:textId="77777777" w:rsidR="000B6D3B" w:rsidRDefault="000B6D3B" w:rsidP="000B6D3B">
      <w:pPr>
        <w:spacing w:after="0" w:line="240" w:lineRule="auto"/>
        <w:jc w:val="both"/>
        <w:rPr>
          <w:rFonts w:ascii="Calibri" w:eastAsia="Calibri" w:hAnsi="Calibri" w:cs="Calibri"/>
        </w:rPr>
      </w:pPr>
      <w:r>
        <w:rPr>
          <w:rFonts w:ascii="Calibri" w:eastAsia="Calibri" w:hAnsi="Calibri" w:cs="Calibri"/>
        </w:rPr>
        <w:t>Dokumentacija sustava primjerena je zahtjevima norme ISO 14001:2015.</w:t>
      </w:r>
    </w:p>
    <w:p w14:paraId="0743591E" w14:textId="77777777" w:rsidR="000B6D3B" w:rsidRDefault="000B6D3B" w:rsidP="000B6D3B">
      <w:pPr>
        <w:spacing w:after="0" w:line="240" w:lineRule="auto"/>
        <w:jc w:val="both"/>
        <w:rPr>
          <w:rFonts w:ascii="Calibri" w:eastAsia="Calibri" w:hAnsi="Calibri" w:cs="Calibri"/>
        </w:rPr>
      </w:pPr>
    </w:p>
    <w:p w14:paraId="3DBE9144" w14:textId="77777777" w:rsidR="000B6D3B" w:rsidRDefault="000B6D3B" w:rsidP="000B6D3B">
      <w:pPr>
        <w:spacing w:after="0" w:line="240" w:lineRule="auto"/>
        <w:jc w:val="both"/>
        <w:rPr>
          <w:rFonts w:ascii="Calibri" w:eastAsia="Calibri" w:hAnsi="Calibri" w:cs="Calibri"/>
        </w:rPr>
      </w:pPr>
      <w:r>
        <w:rPr>
          <w:rFonts w:ascii="Calibri" w:eastAsia="Calibri" w:hAnsi="Calibri" w:cs="Calibri"/>
        </w:rPr>
        <w:t xml:space="preserve">„Auditorski tim je proveo audit temeljem procesa usmjerivši se na značajne aspekte, rizike i ciljeve. </w:t>
      </w:r>
    </w:p>
    <w:p w14:paraId="52D7AE7A" w14:textId="77777777" w:rsidR="000B6D3B" w:rsidRDefault="000B6D3B" w:rsidP="000B6D3B">
      <w:pPr>
        <w:spacing w:after="0" w:line="240" w:lineRule="auto"/>
        <w:jc w:val="both"/>
        <w:rPr>
          <w:rFonts w:ascii="Calibri" w:eastAsia="Calibri" w:hAnsi="Calibri" w:cs="Calibri"/>
        </w:rPr>
      </w:pPr>
      <w:r>
        <w:rPr>
          <w:rFonts w:ascii="Calibri" w:eastAsia="Calibri" w:hAnsi="Calibri" w:cs="Calibri"/>
        </w:rPr>
        <w:t>Politika kvalitete, zaštite okoliša i energetske učinkovitosti integrirani je dokument koji se odnosi na tri implementirana sustava upravljanja.</w:t>
      </w:r>
    </w:p>
    <w:p w14:paraId="374D50D1" w14:textId="77777777" w:rsidR="000B6D3B" w:rsidRDefault="000B6D3B" w:rsidP="000B6D3B">
      <w:pPr>
        <w:spacing w:after="0" w:line="240" w:lineRule="auto"/>
        <w:jc w:val="both"/>
        <w:rPr>
          <w:rFonts w:ascii="Calibri" w:eastAsia="Calibri" w:hAnsi="Calibri" w:cs="Calibri"/>
        </w:rPr>
      </w:pPr>
      <w:r>
        <w:rPr>
          <w:rFonts w:ascii="Calibri" w:eastAsia="Calibri" w:hAnsi="Calibri" w:cs="Calibri"/>
        </w:rPr>
        <w:t>Politika je primjerena naravi te utjecaju na okoliš i svrsi organizacije.</w:t>
      </w:r>
    </w:p>
    <w:p w14:paraId="2C223B3E" w14:textId="77777777" w:rsidR="000B6D3B" w:rsidRDefault="000B6D3B" w:rsidP="000B6D3B">
      <w:pPr>
        <w:spacing w:after="0" w:line="240" w:lineRule="auto"/>
        <w:jc w:val="both"/>
        <w:rPr>
          <w:rFonts w:ascii="Calibri" w:eastAsia="Calibri" w:hAnsi="Calibri" w:cs="Calibri"/>
        </w:rPr>
      </w:pPr>
      <w:r>
        <w:rPr>
          <w:rFonts w:ascii="Calibri" w:eastAsia="Calibri" w:hAnsi="Calibri" w:cs="Calibri"/>
        </w:rPr>
        <w:t>Dokumentacija sustava upravljanja sukladna je sa zahtjevima standarda audita i osigurava dostatnu strukturu za potporu primjeni i održavanju sustava upravljanja.</w:t>
      </w:r>
    </w:p>
    <w:p w14:paraId="384780C8" w14:textId="77777777" w:rsidR="000B6D3B" w:rsidRDefault="000B6D3B" w:rsidP="000B6D3B">
      <w:pPr>
        <w:spacing w:after="0" w:line="240" w:lineRule="auto"/>
        <w:jc w:val="both"/>
        <w:rPr>
          <w:rFonts w:ascii="Calibri" w:eastAsia="Calibri" w:hAnsi="Calibri" w:cs="Calibri"/>
        </w:rPr>
      </w:pPr>
      <w:r>
        <w:rPr>
          <w:rFonts w:ascii="Calibri" w:eastAsia="Calibri" w:hAnsi="Calibri" w:cs="Calibri"/>
        </w:rPr>
        <w:lastRenderedPageBreak/>
        <w:t>Organizacija je prikazala uspostavljanje i nadzor primjerenih ključnih performansi ciljeva te nadzire napredak prema njihovom ostvarivanju.</w:t>
      </w:r>
    </w:p>
    <w:p w14:paraId="2A244888" w14:textId="77777777" w:rsidR="000B6D3B" w:rsidRDefault="000B6D3B" w:rsidP="000B6D3B">
      <w:pPr>
        <w:spacing w:after="0" w:line="240" w:lineRule="auto"/>
        <w:jc w:val="both"/>
        <w:rPr>
          <w:rFonts w:ascii="Calibri" w:eastAsia="Calibri" w:hAnsi="Calibri" w:cs="Calibri"/>
        </w:rPr>
      </w:pPr>
      <w:r>
        <w:rPr>
          <w:rFonts w:ascii="Calibri" w:eastAsia="Calibri" w:hAnsi="Calibri" w:cs="Calibri"/>
        </w:rPr>
        <w:t>Tijekom procesa audita sustav upravljanja je prikazao ukupnu sukladnost sa zahtjevima standarda audita.</w:t>
      </w:r>
    </w:p>
    <w:p w14:paraId="4CFF5502" w14:textId="77777777" w:rsidR="000B6D3B" w:rsidRDefault="000B6D3B" w:rsidP="000B6D3B">
      <w:pPr>
        <w:spacing w:after="0" w:line="240" w:lineRule="auto"/>
        <w:jc w:val="both"/>
        <w:rPr>
          <w:rFonts w:ascii="Calibri" w:eastAsia="Calibri" w:hAnsi="Calibri" w:cs="Calibri"/>
        </w:rPr>
      </w:pPr>
      <w:r>
        <w:rPr>
          <w:rFonts w:ascii="Calibri" w:eastAsia="Calibri" w:hAnsi="Calibri" w:cs="Calibri"/>
        </w:rPr>
        <w:t xml:space="preserve">Tijekom audita </w:t>
      </w:r>
      <w:r>
        <w:rPr>
          <w:rFonts w:ascii="Calibri" w:eastAsia="Calibri" w:hAnsi="Calibri" w:cs="Calibri"/>
          <w:b/>
        </w:rPr>
        <w:t>nisu utvrđene nesukladnosti</w:t>
      </w:r>
      <w:r>
        <w:rPr>
          <w:rFonts w:ascii="Calibri" w:eastAsia="Calibri" w:hAnsi="Calibri" w:cs="Calibri"/>
        </w:rPr>
        <w:t>.</w:t>
      </w:r>
    </w:p>
    <w:p w14:paraId="7A6D1221" w14:textId="77777777" w:rsidR="000B6D3B" w:rsidRDefault="000B6D3B" w:rsidP="000B6D3B">
      <w:pPr>
        <w:spacing w:after="0" w:line="240" w:lineRule="auto"/>
        <w:jc w:val="both"/>
        <w:rPr>
          <w:rFonts w:ascii="Calibri" w:eastAsia="Calibri" w:hAnsi="Calibri" w:cs="Calibri"/>
        </w:rPr>
      </w:pPr>
      <w:r>
        <w:rPr>
          <w:rFonts w:ascii="Calibri" w:eastAsia="Calibri" w:hAnsi="Calibri" w:cs="Calibri"/>
        </w:rPr>
        <w:t>Auditorski tim zaključuje kako je organizacija uspostavila i održava vlastiti sustav upravljanja u skladu sa zahtjevima standarda, te je prikazala sposobnost sustava u postizanju organizacijske politike i ciljeva.“</w:t>
      </w:r>
    </w:p>
    <w:p w14:paraId="455D651D" w14:textId="77777777" w:rsidR="000B6D3B" w:rsidRDefault="000B6D3B" w:rsidP="000B6D3B">
      <w:pPr>
        <w:spacing w:after="0" w:line="240" w:lineRule="auto"/>
        <w:jc w:val="both"/>
        <w:rPr>
          <w:rFonts w:ascii="Calibri" w:eastAsia="Calibri" w:hAnsi="Calibri" w:cs="Calibri"/>
        </w:rPr>
      </w:pPr>
    </w:p>
    <w:p w14:paraId="2AFCDD62" w14:textId="77777777" w:rsidR="000B6D3B" w:rsidRDefault="000B6D3B" w:rsidP="000B6D3B">
      <w:pPr>
        <w:spacing w:after="0" w:line="240" w:lineRule="auto"/>
        <w:jc w:val="both"/>
        <w:rPr>
          <w:rFonts w:ascii="Calibri" w:eastAsia="Calibri" w:hAnsi="Calibri" w:cs="Calibri"/>
        </w:rPr>
      </w:pPr>
      <w:r>
        <w:rPr>
          <w:rFonts w:ascii="Calibri" w:eastAsia="Calibri" w:hAnsi="Calibri" w:cs="Calibri"/>
        </w:rPr>
        <w:t>Broj certifikata: HR007623 Verzija 1, datum izdavanja 10. lipanj 2020. za opseg „vodoopskrba i odvodnja“</w:t>
      </w:r>
    </w:p>
    <w:p w14:paraId="41C5B5E5" w14:textId="77777777" w:rsidR="000B6D3B" w:rsidRDefault="000B6D3B" w:rsidP="000B6D3B">
      <w:pPr>
        <w:spacing w:after="0" w:line="240" w:lineRule="auto"/>
        <w:jc w:val="both"/>
        <w:rPr>
          <w:rFonts w:ascii="Calibri" w:eastAsia="Calibri" w:hAnsi="Calibri" w:cs="Calibri"/>
        </w:rPr>
      </w:pPr>
    </w:p>
    <w:p w14:paraId="58DFDBFF" w14:textId="77777777" w:rsidR="000B6D3B" w:rsidRDefault="000B6D3B" w:rsidP="000B6D3B">
      <w:pPr>
        <w:spacing w:after="0" w:line="240" w:lineRule="auto"/>
        <w:jc w:val="both"/>
        <w:rPr>
          <w:rFonts w:ascii="Calibri" w:eastAsia="Calibri" w:hAnsi="Calibri" w:cs="Calibri"/>
        </w:rPr>
      </w:pPr>
    </w:p>
    <w:p w14:paraId="1F079C42" w14:textId="77777777" w:rsidR="000B6D3B" w:rsidRDefault="000B6D3B" w:rsidP="000B6D3B">
      <w:pPr>
        <w:spacing w:after="0" w:line="240" w:lineRule="auto"/>
        <w:jc w:val="both"/>
        <w:rPr>
          <w:rFonts w:ascii="Calibri" w:eastAsia="Calibri" w:hAnsi="Calibri" w:cs="Calibri"/>
          <w:b/>
        </w:rPr>
      </w:pPr>
      <w:r>
        <w:rPr>
          <w:rFonts w:ascii="Calibri" w:eastAsia="Calibri" w:hAnsi="Calibri" w:cs="Calibri"/>
          <w:b/>
        </w:rPr>
        <w:t>1.4.3. HACCP Codex Alimentarius Annex to CAC/RCP 1-1969 (Rev. 4-2003)</w:t>
      </w:r>
    </w:p>
    <w:p w14:paraId="0202428F" w14:textId="77777777" w:rsidR="000B6D3B" w:rsidRDefault="000B6D3B" w:rsidP="000B6D3B">
      <w:pPr>
        <w:spacing w:after="0" w:line="240" w:lineRule="auto"/>
        <w:jc w:val="both"/>
        <w:rPr>
          <w:rFonts w:ascii="Calibri" w:eastAsia="Calibri" w:hAnsi="Calibri" w:cs="Calibri"/>
        </w:rPr>
      </w:pPr>
    </w:p>
    <w:p w14:paraId="2BC00C5E" w14:textId="77777777" w:rsidR="000B6D3B" w:rsidRDefault="000B6D3B" w:rsidP="000B6D3B">
      <w:pPr>
        <w:spacing w:after="0" w:line="240" w:lineRule="auto"/>
        <w:jc w:val="both"/>
        <w:rPr>
          <w:rFonts w:ascii="Calibri" w:eastAsia="Calibri" w:hAnsi="Calibri" w:cs="Calibri"/>
        </w:rPr>
      </w:pPr>
      <w:r>
        <w:rPr>
          <w:rFonts w:ascii="Calibri" w:eastAsia="Calibri" w:hAnsi="Calibri" w:cs="Calibri"/>
        </w:rPr>
        <w:t>Krajem 2004. godine započelo se s uvođenjem kontrole kvalitete vode prema načelima HACCP-a, a 16. prosinca 2005. godine sustav je prvi put certificiran.</w:t>
      </w:r>
    </w:p>
    <w:p w14:paraId="01A73045" w14:textId="77777777" w:rsidR="000B6D3B" w:rsidRDefault="000B6D3B" w:rsidP="000B6D3B">
      <w:pPr>
        <w:spacing w:after="0" w:line="240" w:lineRule="auto"/>
        <w:jc w:val="both"/>
        <w:rPr>
          <w:rFonts w:ascii="Calibri" w:eastAsia="Calibri" w:hAnsi="Calibri" w:cs="Calibri"/>
        </w:rPr>
      </w:pPr>
      <w:r>
        <w:rPr>
          <w:rFonts w:ascii="Calibri" w:eastAsia="Calibri" w:hAnsi="Calibri" w:cs="Calibri"/>
        </w:rPr>
        <w:t>Dana 05. lipnja 2020. godine održao se audit sukladno planu audita, a prema BV Certification procedurama i prema zahtjevima norme CAC/RCP 1-1969 (Rev. 4-2003).</w:t>
      </w:r>
    </w:p>
    <w:p w14:paraId="05F38170" w14:textId="77777777" w:rsidR="000B6D3B" w:rsidRDefault="000B6D3B" w:rsidP="000B6D3B">
      <w:pPr>
        <w:spacing w:after="0" w:line="240" w:lineRule="auto"/>
        <w:jc w:val="both"/>
        <w:rPr>
          <w:rFonts w:ascii="Calibri" w:eastAsia="Calibri" w:hAnsi="Calibri" w:cs="Calibri"/>
        </w:rPr>
      </w:pPr>
    </w:p>
    <w:p w14:paraId="69B96C45" w14:textId="77777777" w:rsidR="000B6D3B" w:rsidRDefault="000B6D3B" w:rsidP="000B6D3B">
      <w:pPr>
        <w:spacing w:after="0" w:line="240" w:lineRule="auto"/>
        <w:jc w:val="both"/>
        <w:rPr>
          <w:rFonts w:ascii="Calibri" w:eastAsia="Calibri" w:hAnsi="Calibri" w:cs="Calibri"/>
        </w:rPr>
      </w:pPr>
      <w:r>
        <w:rPr>
          <w:rFonts w:ascii="Calibri" w:eastAsia="Calibri" w:hAnsi="Calibri" w:cs="Calibri"/>
        </w:rPr>
        <w:t xml:space="preserve">„HACCP sustav dokumentiran je primjereno potrebama i zahtjevima proizvoda i procesa. </w:t>
      </w:r>
    </w:p>
    <w:p w14:paraId="097B7C74" w14:textId="77777777" w:rsidR="000B6D3B" w:rsidRDefault="000B6D3B" w:rsidP="000B6D3B">
      <w:pPr>
        <w:spacing w:after="0" w:line="240" w:lineRule="auto"/>
        <w:jc w:val="both"/>
        <w:rPr>
          <w:rFonts w:ascii="Calibri" w:eastAsia="Calibri" w:hAnsi="Calibri" w:cs="Calibri"/>
        </w:rPr>
      </w:pPr>
      <w:r>
        <w:rPr>
          <w:rFonts w:ascii="Calibri" w:eastAsia="Calibri" w:hAnsi="Calibri" w:cs="Calibri"/>
        </w:rPr>
        <w:t xml:space="preserve">Proces se nadzire vođenjem propisanih evidencija, te jasnim procesima kontrole u procesu – primarno telemetrijom, te definiranim planom uzorkovanja, što rezultira uspješnom primjenom HACCP sustava. </w:t>
      </w:r>
    </w:p>
    <w:p w14:paraId="61621926" w14:textId="77777777" w:rsidR="000B6D3B" w:rsidRDefault="000B6D3B" w:rsidP="000B6D3B">
      <w:pPr>
        <w:spacing w:after="0" w:line="240" w:lineRule="auto"/>
        <w:jc w:val="both"/>
        <w:rPr>
          <w:rFonts w:ascii="Calibri" w:eastAsia="Calibri" w:hAnsi="Calibri" w:cs="Calibri"/>
        </w:rPr>
      </w:pPr>
      <w:r>
        <w:rPr>
          <w:rFonts w:ascii="Calibri" w:eastAsia="Calibri" w:hAnsi="Calibri" w:cs="Calibri"/>
        </w:rPr>
        <w:t xml:space="preserve">Zakonski se provodi redovan monitoring od nadležnog županijskog zavoda za javno zdravstvo. </w:t>
      </w:r>
    </w:p>
    <w:p w14:paraId="0B6BAAB0" w14:textId="77777777" w:rsidR="000B6D3B" w:rsidRDefault="000B6D3B" w:rsidP="000B6D3B">
      <w:pPr>
        <w:spacing w:after="0" w:line="240" w:lineRule="auto"/>
        <w:jc w:val="both"/>
        <w:rPr>
          <w:rFonts w:ascii="Calibri" w:eastAsia="Calibri" w:hAnsi="Calibri" w:cs="Calibri"/>
        </w:rPr>
      </w:pPr>
      <w:r>
        <w:rPr>
          <w:rFonts w:ascii="Calibri" w:eastAsia="Calibri" w:hAnsi="Calibri" w:cs="Calibri"/>
        </w:rPr>
        <w:t>Sve evidencije se uredno vode, te se zapisi i procesi verificiraju kako je propisano.</w:t>
      </w:r>
    </w:p>
    <w:p w14:paraId="3C7FDA49" w14:textId="77777777" w:rsidR="000B6D3B" w:rsidRDefault="000B6D3B" w:rsidP="000B6D3B">
      <w:pPr>
        <w:spacing w:after="0" w:line="240" w:lineRule="auto"/>
        <w:jc w:val="both"/>
        <w:rPr>
          <w:rFonts w:ascii="Calibri" w:eastAsia="Calibri" w:hAnsi="Calibri" w:cs="Calibri"/>
        </w:rPr>
      </w:pPr>
      <w:r>
        <w:rPr>
          <w:rFonts w:ascii="Calibri" w:eastAsia="Calibri" w:hAnsi="Calibri" w:cs="Calibri"/>
        </w:rPr>
        <w:t xml:space="preserve">Pregledom HACCP studije sa pripadajućim dokumentima te obilaskom lokacija i razgovorom sa nadležnim osobama </w:t>
      </w:r>
      <w:r>
        <w:rPr>
          <w:rFonts w:ascii="Calibri" w:eastAsia="Calibri" w:hAnsi="Calibri" w:cs="Calibri"/>
          <w:b/>
        </w:rPr>
        <w:t>nisu utvrđene nesukladnosti</w:t>
      </w:r>
      <w:r>
        <w:rPr>
          <w:rFonts w:ascii="Calibri" w:eastAsia="Calibri" w:hAnsi="Calibri" w:cs="Calibri"/>
        </w:rPr>
        <w:t>.“</w:t>
      </w:r>
    </w:p>
    <w:p w14:paraId="0FE5ECC7" w14:textId="77777777" w:rsidR="000B6D3B" w:rsidRDefault="000B6D3B" w:rsidP="000B6D3B">
      <w:pPr>
        <w:spacing w:after="0" w:line="240" w:lineRule="auto"/>
        <w:jc w:val="both"/>
        <w:rPr>
          <w:rFonts w:ascii="Calibri" w:eastAsia="Calibri" w:hAnsi="Calibri" w:cs="Calibri"/>
        </w:rPr>
      </w:pPr>
    </w:p>
    <w:p w14:paraId="02B941FF" w14:textId="77777777" w:rsidR="000B6D3B" w:rsidRDefault="000B6D3B" w:rsidP="000B6D3B">
      <w:pPr>
        <w:spacing w:after="0" w:line="240" w:lineRule="auto"/>
        <w:jc w:val="both"/>
        <w:rPr>
          <w:rFonts w:ascii="Calibri" w:eastAsia="Calibri" w:hAnsi="Calibri" w:cs="Calibri"/>
        </w:rPr>
      </w:pPr>
      <w:r>
        <w:rPr>
          <w:rFonts w:ascii="Calibri" w:eastAsia="Calibri" w:hAnsi="Calibri" w:cs="Calibri"/>
        </w:rPr>
        <w:t>Broj certifikata: HR007676 Verzija  01, datum revizije 07. srpanj 2020. za opseg „vodoopskrba“</w:t>
      </w:r>
    </w:p>
    <w:p w14:paraId="182593DA" w14:textId="77777777" w:rsidR="000B6D3B" w:rsidRDefault="000B6D3B" w:rsidP="000B6D3B">
      <w:pPr>
        <w:spacing w:after="0" w:line="240" w:lineRule="auto"/>
        <w:jc w:val="both"/>
        <w:rPr>
          <w:rFonts w:ascii="Calibri" w:eastAsia="Calibri" w:hAnsi="Calibri" w:cs="Calibri"/>
        </w:rPr>
      </w:pPr>
    </w:p>
    <w:p w14:paraId="74A5DF39" w14:textId="77777777" w:rsidR="000B6D3B" w:rsidRDefault="000B6D3B" w:rsidP="000B6D3B">
      <w:pPr>
        <w:spacing w:after="0" w:line="240" w:lineRule="auto"/>
        <w:jc w:val="both"/>
        <w:rPr>
          <w:rFonts w:ascii="Calibri" w:eastAsia="Calibri" w:hAnsi="Calibri" w:cs="Calibri"/>
        </w:rPr>
      </w:pPr>
    </w:p>
    <w:p w14:paraId="1A717410" w14:textId="77777777" w:rsidR="000B6D3B" w:rsidRDefault="000B6D3B" w:rsidP="000B6D3B">
      <w:pPr>
        <w:spacing w:after="0" w:line="240" w:lineRule="auto"/>
        <w:rPr>
          <w:rFonts w:ascii="Calibri" w:eastAsia="Calibri" w:hAnsi="Calibri" w:cs="Calibri"/>
          <w:b/>
          <w:bCs/>
          <w:iCs/>
        </w:rPr>
      </w:pPr>
      <w:r>
        <w:rPr>
          <w:rFonts w:ascii="Calibri" w:eastAsia="Calibri" w:hAnsi="Calibri" w:cs="Calibri"/>
          <w:b/>
          <w:bCs/>
          <w:iCs/>
        </w:rPr>
        <w:br w:type="page"/>
      </w:r>
    </w:p>
    <w:p w14:paraId="0D7E4216" w14:textId="77777777" w:rsidR="000B6D3B" w:rsidRDefault="000B6D3B" w:rsidP="000B6D3B">
      <w:pPr>
        <w:numPr>
          <w:ilvl w:val="0"/>
          <w:numId w:val="1"/>
        </w:numPr>
        <w:spacing w:after="0" w:line="240" w:lineRule="auto"/>
        <w:contextualSpacing/>
        <w:jc w:val="both"/>
        <w:rPr>
          <w:rFonts w:ascii="Calibri" w:eastAsia="Times New Roman" w:hAnsi="Calibri" w:cs="Calibri"/>
          <w:b/>
          <w:bCs/>
          <w:iCs/>
          <w:sz w:val="24"/>
          <w:szCs w:val="24"/>
        </w:rPr>
      </w:pPr>
      <w:r>
        <w:rPr>
          <w:rFonts w:ascii="Calibri" w:eastAsia="Times New Roman" w:hAnsi="Calibri" w:cs="Calibri"/>
          <w:b/>
          <w:bCs/>
          <w:iCs/>
          <w:sz w:val="24"/>
          <w:szCs w:val="24"/>
        </w:rPr>
        <w:lastRenderedPageBreak/>
        <w:t>FINANCIJSKI POKAZATELJI I OSTVARENI REZULTAT</w:t>
      </w:r>
    </w:p>
    <w:p w14:paraId="3FBA0947" w14:textId="77777777" w:rsidR="000B6D3B" w:rsidRDefault="000B6D3B" w:rsidP="000B6D3B">
      <w:pPr>
        <w:spacing w:after="160" w:line="256" w:lineRule="auto"/>
        <w:ind w:firstLine="708"/>
        <w:jc w:val="both"/>
        <w:rPr>
          <w:rFonts w:ascii="Calibri" w:eastAsia="Calibri" w:hAnsi="Calibri" w:cs="Calibri"/>
        </w:rPr>
      </w:pPr>
    </w:p>
    <w:p w14:paraId="5F02C6FA" w14:textId="1815998E" w:rsidR="000B6D3B" w:rsidRDefault="000B6D3B" w:rsidP="000B6D3B">
      <w:pPr>
        <w:spacing w:after="0" w:line="240" w:lineRule="auto"/>
        <w:ind w:firstLine="709"/>
        <w:jc w:val="both"/>
        <w:rPr>
          <w:rFonts w:ascii="Calibri" w:eastAsia="Calibri" w:hAnsi="Calibri" w:cs="Calibri"/>
        </w:rPr>
      </w:pPr>
      <w:r>
        <w:rPr>
          <w:rFonts w:ascii="Calibri" w:eastAsia="Calibri" w:hAnsi="Calibri" w:cs="Calibri"/>
        </w:rPr>
        <w:t xml:space="preserve">Za razdoblje od 01. siječnja do 31. prosinca 2020. godine,  Društvo je ostvarilo ukupne prihode u iznosu od 55.442.109,12 kn te ukupne rashode u iznosu od 56.691.569,70 kn. Temeljem razlike prihoda i rashoda ostvaren je gubitak tekuće godine u iznosu od 1.249.460,58 kn. </w:t>
      </w:r>
    </w:p>
    <w:p w14:paraId="08984B07" w14:textId="77777777" w:rsidR="000B6D3B" w:rsidRDefault="000B6D3B" w:rsidP="000B6D3B">
      <w:pPr>
        <w:numPr>
          <w:ilvl w:val="12"/>
          <w:numId w:val="0"/>
        </w:numPr>
        <w:spacing w:after="160" w:line="256" w:lineRule="auto"/>
        <w:jc w:val="both"/>
        <w:rPr>
          <w:rFonts w:ascii="Calibri" w:eastAsia="Calibri" w:hAnsi="Calibri" w:cs="Calibri"/>
        </w:rPr>
      </w:pPr>
    </w:p>
    <w:p w14:paraId="5582F5BA" w14:textId="77777777" w:rsidR="000B6D3B" w:rsidRDefault="000B6D3B" w:rsidP="000B6D3B">
      <w:pPr>
        <w:numPr>
          <w:ilvl w:val="12"/>
          <w:numId w:val="0"/>
        </w:numPr>
        <w:spacing w:after="0" w:line="240" w:lineRule="auto"/>
        <w:jc w:val="both"/>
        <w:rPr>
          <w:rFonts w:ascii="Calibri" w:eastAsia="Calibri" w:hAnsi="Calibri" w:cs="Calibri"/>
          <w:b/>
          <w:bCs/>
        </w:rPr>
      </w:pPr>
      <w:r>
        <w:rPr>
          <w:rFonts w:ascii="Calibri" w:eastAsia="Calibri" w:hAnsi="Calibri" w:cs="Calibri"/>
          <w:b/>
          <w:bCs/>
        </w:rPr>
        <w:t>2.1.</w:t>
      </w:r>
      <w:r>
        <w:rPr>
          <w:rFonts w:ascii="Calibri" w:eastAsia="Calibri" w:hAnsi="Calibri" w:cs="Calibri"/>
          <w:b/>
          <w:bCs/>
        </w:rPr>
        <w:tab/>
        <w:t>UKUPNI PRIHODI</w:t>
      </w:r>
    </w:p>
    <w:p w14:paraId="1C19C487" w14:textId="77777777" w:rsidR="000B6D3B" w:rsidRDefault="000B6D3B" w:rsidP="000B6D3B">
      <w:pPr>
        <w:numPr>
          <w:ilvl w:val="12"/>
          <w:numId w:val="0"/>
        </w:numPr>
        <w:spacing w:after="0" w:line="240" w:lineRule="auto"/>
        <w:ind w:firstLine="709"/>
        <w:jc w:val="both"/>
        <w:rPr>
          <w:rFonts w:ascii="Calibri" w:eastAsia="Calibri" w:hAnsi="Calibri" w:cs="Calibri"/>
          <w:b/>
        </w:rPr>
      </w:pPr>
    </w:p>
    <w:p w14:paraId="23952E5C" w14:textId="77777777" w:rsidR="000B6D3B" w:rsidRDefault="000B6D3B" w:rsidP="000B6D3B">
      <w:pPr>
        <w:numPr>
          <w:ilvl w:val="12"/>
          <w:numId w:val="0"/>
        </w:numPr>
        <w:spacing w:after="0" w:line="240" w:lineRule="auto"/>
        <w:ind w:firstLine="709"/>
        <w:jc w:val="both"/>
        <w:rPr>
          <w:rFonts w:ascii="Calibri" w:eastAsia="Calibri" w:hAnsi="Calibri" w:cs="Calibri"/>
        </w:rPr>
      </w:pPr>
      <w:r>
        <w:rPr>
          <w:rFonts w:ascii="Calibri" w:eastAsia="Calibri" w:hAnsi="Calibri" w:cs="Calibri"/>
          <w:b/>
        </w:rPr>
        <w:t>Prihodi od prodaje</w:t>
      </w:r>
      <w:r>
        <w:rPr>
          <w:rFonts w:ascii="Calibri" w:eastAsia="Calibri" w:hAnsi="Calibri" w:cs="Calibri"/>
        </w:rPr>
        <w:t xml:space="preserve">  u iznosu od 41.515.679,43 kn čine 74,9% ukupnih prihoda. </w:t>
      </w:r>
    </w:p>
    <w:p w14:paraId="2D20458E" w14:textId="77777777" w:rsidR="000B6D3B" w:rsidRDefault="000B6D3B" w:rsidP="000B6D3B">
      <w:pPr>
        <w:numPr>
          <w:ilvl w:val="12"/>
          <w:numId w:val="0"/>
        </w:numPr>
        <w:spacing w:after="0" w:line="240" w:lineRule="auto"/>
        <w:ind w:firstLine="708"/>
        <w:jc w:val="both"/>
        <w:rPr>
          <w:rFonts w:ascii="Calibri" w:eastAsia="Calibri" w:hAnsi="Calibri" w:cs="Calibri"/>
        </w:rPr>
      </w:pPr>
      <w:r>
        <w:rPr>
          <w:rFonts w:ascii="Calibri" w:eastAsia="Calibri" w:hAnsi="Calibri" w:cs="Calibri"/>
        </w:rPr>
        <w:t xml:space="preserve">Prihod od prodane vode za piće privredi i domaćinstvima ostvaren je u iznosu od 14.268.014,99 kn te je za 21% manji od prethodne godine kada je iznosio 18.054.881,04 kn. Smanjenje prihoda rezultat je smanjene potrošnje vode privrede za 33% i domaćinstva za 5%. </w:t>
      </w:r>
    </w:p>
    <w:p w14:paraId="4A193306" w14:textId="77777777" w:rsidR="000B6D3B" w:rsidRDefault="000B6D3B" w:rsidP="000B6D3B">
      <w:pPr>
        <w:numPr>
          <w:ilvl w:val="12"/>
          <w:numId w:val="0"/>
        </w:numPr>
        <w:spacing w:after="0" w:line="240" w:lineRule="auto"/>
        <w:jc w:val="both"/>
        <w:rPr>
          <w:rFonts w:ascii="Calibri" w:eastAsia="Calibri" w:hAnsi="Calibri" w:cs="Calibri"/>
        </w:rPr>
      </w:pPr>
      <w:r>
        <w:rPr>
          <w:rFonts w:ascii="Calibri" w:eastAsia="Calibri" w:hAnsi="Calibri" w:cs="Calibri"/>
        </w:rPr>
        <w:t>Zbog povećanja broja korisnika na vodi veći je prihod ostvaren od fiksnog dijela cijene vode za 2% (2020. ostvareno je 15.152.137,44 kn, a 2019. godine 14.806.712,16 kn).</w:t>
      </w:r>
    </w:p>
    <w:p w14:paraId="43C7503C" w14:textId="77777777" w:rsidR="000B6D3B" w:rsidRDefault="000B6D3B" w:rsidP="000B6D3B">
      <w:pPr>
        <w:numPr>
          <w:ilvl w:val="12"/>
          <w:numId w:val="0"/>
        </w:numPr>
        <w:spacing w:after="0" w:line="240" w:lineRule="auto"/>
        <w:ind w:firstLine="709"/>
        <w:jc w:val="both"/>
        <w:rPr>
          <w:rFonts w:ascii="Calibri" w:eastAsia="Calibri" w:hAnsi="Calibri" w:cs="Calibri"/>
        </w:rPr>
      </w:pPr>
      <w:r>
        <w:rPr>
          <w:rFonts w:ascii="Calibri" w:eastAsia="Calibri" w:hAnsi="Calibri" w:cs="Calibri"/>
        </w:rPr>
        <w:t xml:space="preserve">Prihod varijabilnog dijela cijene odvodnje otpadnih voda manji je za 26% (2020. ostvareno je 4.421.339,71 kn, a 2019. godine 5.935.498,83 kn) što je rezultat manje potrošnje privrede za 40% dok je potrošnja domaćinstva za 1% veća od prethodne godine. </w:t>
      </w:r>
    </w:p>
    <w:p w14:paraId="505DEC95" w14:textId="77777777" w:rsidR="000B6D3B" w:rsidRDefault="000B6D3B" w:rsidP="000B6D3B">
      <w:pPr>
        <w:numPr>
          <w:ilvl w:val="12"/>
          <w:numId w:val="0"/>
        </w:numPr>
        <w:spacing w:after="0" w:line="240" w:lineRule="auto"/>
        <w:jc w:val="both"/>
        <w:rPr>
          <w:rFonts w:ascii="Calibri" w:eastAsia="Calibri" w:hAnsi="Calibri" w:cs="Calibri"/>
        </w:rPr>
      </w:pPr>
      <w:r>
        <w:rPr>
          <w:rFonts w:ascii="Calibri" w:eastAsia="Calibri" w:hAnsi="Calibri" w:cs="Calibri"/>
        </w:rPr>
        <w:t xml:space="preserve">Zbog povećanja ukupnog broja korisnika odvodnje otpadnih voda prihod ostvaren po fiksnom dijelu cijene odvodnje veći je za 9% (u 2020. godini iznosio je 3.843.477,82 kn, a 2019. godine 3.535.607,40 kn).  </w:t>
      </w:r>
    </w:p>
    <w:p w14:paraId="3E49E15A" w14:textId="77777777" w:rsidR="000B6D3B" w:rsidRDefault="000B6D3B" w:rsidP="000B6D3B">
      <w:pPr>
        <w:numPr>
          <w:ilvl w:val="12"/>
          <w:numId w:val="0"/>
        </w:numPr>
        <w:spacing w:after="0" w:line="240" w:lineRule="auto"/>
        <w:ind w:firstLine="709"/>
        <w:jc w:val="both"/>
        <w:rPr>
          <w:rFonts w:ascii="Calibri" w:eastAsia="Calibri" w:hAnsi="Calibri" w:cs="Calibri"/>
        </w:rPr>
      </w:pPr>
      <w:r>
        <w:rPr>
          <w:rFonts w:ascii="Calibri" w:eastAsia="Calibri" w:hAnsi="Calibri" w:cs="Calibri"/>
        </w:rPr>
        <w:t xml:space="preserve">U 2020. godini prihod pražnjenja, odvoza i zbrinjavanja fekalija iz septičkih jama manji su  za 28% u odnosu na prošlu godinu (u 2020. ostvareno je 1.277.662,26 kn, a 2019. godine 1.776.111,54 kn). </w:t>
      </w:r>
    </w:p>
    <w:p w14:paraId="33570FA4" w14:textId="77777777" w:rsidR="000B6D3B" w:rsidRDefault="000B6D3B" w:rsidP="000B6D3B">
      <w:pPr>
        <w:numPr>
          <w:ilvl w:val="12"/>
          <w:numId w:val="0"/>
        </w:numPr>
        <w:spacing w:after="0" w:line="240" w:lineRule="auto"/>
        <w:ind w:firstLine="709"/>
        <w:jc w:val="both"/>
        <w:rPr>
          <w:rFonts w:ascii="Calibri" w:eastAsia="Calibri" w:hAnsi="Calibri" w:cs="Calibri"/>
        </w:rPr>
      </w:pPr>
    </w:p>
    <w:p w14:paraId="2DFFC72B" w14:textId="77777777" w:rsidR="000B6D3B" w:rsidRDefault="000B6D3B" w:rsidP="000B6D3B">
      <w:pPr>
        <w:spacing w:after="0" w:line="240" w:lineRule="auto"/>
        <w:ind w:firstLine="708"/>
        <w:jc w:val="both"/>
        <w:rPr>
          <w:rFonts w:ascii="Calibri" w:eastAsia="Calibri" w:hAnsi="Calibri" w:cs="Calibri"/>
        </w:rPr>
      </w:pPr>
      <w:r>
        <w:rPr>
          <w:rFonts w:ascii="Calibri" w:eastAsia="Calibri" w:hAnsi="Calibri" w:cs="Calibri"/>
          <w:b/>
        </w:rPr>
        <w:t>Ostali poslovni prihodi</w:t>
      </w:r>
      <w:r>
        <w:rPr>
          <w:rFonts w:ascii="Calibri" w:eastAsia="Calibri" w:hAnsi="Calibri" w:cs="Calibri"/>
        </w:rPr>
        <w:t xml:space="preserve"> u 2020. godini iznose 13.614.022,80 kn  (2019. godine 13.611.255,75 kn) te čine 24,6% ukupnih prihoda i na razini su prošlogodišnjih. </w:t>
      </w:r>
    </w:p>
    <w:p w14:paraId="48888620" w14:textId="77777777" w:rsidR="000B6D3B" w:rsidRDefault="000B6D3B" w:rsidP="000B6D3B">
      <w:pPr>
        <w:spacing w:after="0" w:line="240" w:lineRule="auto"/>
        <w:jc w:val="both"/>
        <w:rPr>
          <w:rFonts w:ascii="Calibri" w:eastAsia="Calibri" w:hAnsi="Calibri" w:cs="Calibri"/>
        </w:rPr>
      </w:pPr>
      <w:r>
        <w:rPr>
          <w:rFonts w:ascii="Calibri" w:eastAsia="Calibri" w:hAnsi="Calibri" w:cs="Calibri"/>
        </w:rPr>
        <w:t xml:space="preserve">U ostalim poslovnim prihodima iskazan  je prihod </w:t>
      </w:r>
      <w:r>
        <w:rPr>
          <w:rFonts w:ascii="Calibri" w:eastAsia="Times New Roman" w:hAnsi="Calibri" w:cs="Calibri"/>
          <w:bCs/>
          <w:iCs/>
        </w:rPr>
        <w:t xml:space="preserve">od usluga pruženih drugim pravnim osobama u ukupnom iznosu od 7.031.894,13 kn (u istom iznosu iskazani su i troškovi), a odnose se na izgradnju i stručni nadzor nad izgradnjom elektroničke komunikacijske mreže (EKM) u iznosu od 6.729.380,13 kn te druge radove u iznosu od 302.514,00 kn. Izgradnja EKM mreže temelji se na Ugovoru o međusobnim odnosima u izgradnji elektroničke komunikacijske mreže otoka Krka u istom infrastrukturnom kanalu fekalne kanalizacije EU projekta. Sukladno tom ugovoru izgrađena EKM mreža biti će vlasništvo društva Ponikve eko otok Krk koje radove i financira. </w:t>
      </w:r>
    </w:p>
    <w:p w14:paraId="388E5ABC" w14:textId="77777777" w:rsidR="000B6D3B" w:rsidRDefault="000B6D3B" w:rsidP="000B6D3B">
      <w:pPr>
        <w:spacing w:after="0" w:line="240" w:lineRule="auto"/>
        <w:jc w:val="both"/>
        <w:rPr>
          <w:rFonts w:ascii="Calibri" w:eastAsia="Calibri" w:hAnsi="Calibri" w:cs="Calibri"/>
        </w:rPr>
      </w:pPr>
      <w:r>
        <w:rPr>
          <w:rFonts w:ascii="Calibri" w:eastAsia="Calibri" w:hAnsi="Calibri" w:cs="Calibri"/>
        </w:rPr>
        <w:t>Preostali iznos ostalih poslovnih prihoda (6.582.128,67 kn) odnosi se na prihode naplaćenih ranije utuženih potraživanja (111.398,09 kn), naknade šteta od osiguranja a (168.800,88 kn), prihod u visini amortizacije imovine nabavljene iz namjenskih sredstava (5.682.656,44 kn), prihodi za pokriće troškova kamata (49.450,74 kn) po kreditima koje se otplaćuju iz sredstava JLS i naknade za razvoj, prihoda za pokriće negativnih tečajnih razlika po podzajmu iz Projekta Jadran (1.013,24 kn), prihodi za pokriće kamata (</w:t>
      </w:r>
      <w:r>
        <w:rPr>
          <w:rFonts w:ascii="Calibri" w:eastAsia="Calibri" w:hAnsi="Calibri" w:cs="Calibri"/>
          <w:iCs/>
        </w:rPr>
        <w:t>307.988,76 kn) i bankarske naknade (81.550,38 kn)</w:t>
      </w:r>
      <w:r>
        <w:rPr>
          <w:rFonts w:ascii="Calibri" w:eastAsia="Calibri" w:hAnsi="Calibri" w:cs="Calibri"/>
        </w:rPr>
        <w:t xml:space="preserve"> za kredit za EU projekt koje se otplaćuju iz sredstava JLS, prihod od najma (58.000,00 kn), prihodi od subvencija Ministarstva za prodanu vodu domaćinstvima koja nemaju mogućnost korištenja javne vodovodne mreže već se voda dostavlja putem autocisterni (27.764,00 kn),  prodaja vozila (34.400,00 kn), pokriće primitka u naravi (30.138,66 kn) i ostali prihodi (28.967,48 kn).</w:t>
      </w:r>
    </w:p>
    <w:p w14:paraId="483BA15C" w14:textId="77777777" w:rsidR="000B6D3B" w:rsidRDefault="000B6D3B" w:rsidP="000B6D3B">
      <w:pPr>
        <w:numPr>
          <w:ilvl w:val="12"/>
          <w:numId w:val="0"/>
        </w:numPr>
        <w:spacing w:after="0" w:line="240" w:lineRule="auto"/>
        <w:ind w:firstLine="709"/>
        <w:jc w:val="both"/>
        <w:rPr>
          <w:rFonts w:ascii="Calibri" w:eastAsia="Calibri" w:hAnsi="Calibri" w:cs="Calibri"/>
        </w:rPr>
      </w:pPr>
    </w:p>
    <w:p w14:paraId="32AA0FB4" w14:textId="0FB09097" w:rsidR="000B6D3B" w:rsidRDefault="000B6D3B" w:rsidP="000B6D3B">
      <w:pPr>
        <w:numPr>
          <w:ilvl w:val="12"/>
          <w:numId w:val="0"/>
        </w:numPr>
        <w:spacing w:after="0" w:line="240" w:lineRule="auto"/>
        <w:ind w:firstLine="708"/>
        <w:jc w:val="both"/>
        <w:rPr>
          <w:rFonts w:ascii="Calibri" w:eastAsia="Calibri" w:hAnsi="Calibri" w:cs="Calibri"/>
        </w:rPr>
      </w:pPr>
      <w:r>
        <w:rPr>
          <w:rFonts w:ascii="Calibri" w:eastAsia="Calibri" w:hAnsi="Calibri" w:cs="Calibri"/>
          <w:b/>
        </w:rPr>
        <w:t>Financijski prihodi</w:t>
      </w:r>
      <w:r>
        <w:rPr>
          <w:rFonts w:ascii="Calibri" w:eastAsia="Calibri" w:hAnsi="Calibri" w:cs="Calibri"/>
        </w:rPr>
        <w:t xml:space="preserve"> ostvareni su u iznosu od 312.406,89 kn i čine 0,5% ukupnih prihoda, a sastoje se od: obračunatih zateznih kamata na zakašnjela plaćanja, kamata po viđenju, kamata od danih pozajmica radnicima te pozitivnih tečajnih razlika.</w:t>
      </w:r>
    </w:p>
    <w:p w14:paraId="03A7A695" w14:textId="51AE5EAC" w:rsidR="00A47DC5" w:rsidRDefault="00A47DC5" w:rsidP="000B6D3B">
      <w:pPr>
        <w:numPr>
          <w:ilvl w:val="12"/>
          <w:numId w:val="0"/>
        </w:numPr>
        <w:spacing w:after="0" w:line="240" w:lineRule="auto"/>
        <w:ind w:firstLine="708"/>
        <w:jc w:val="both"/>
        <w:rPr>
          <w:rFonts w:ascii="Calibri" w:eastAsia="Calibri" w:hAnsi="Calibri" w:cs="Calibri"/>
        </w:rPr>
      </w:pPr>
    </w:p>
    <w:p w14:paraId="2972BD55" w14:textId="31D63F58" w:rsidR="00A47DC5" w:rsidRDefault="00A47DC5" w:rsidP="000B6D3B">
      <w:pPr>
        <w:numPr>
          <w:ilvl w:val="12"/>
          <w:numId w:val="0"/>
        </w:numPr>
        <w:spacing w:after="0" w:line="240" w:lineRule="auto"/>
        <w:ind w:firstLine="708"/>
        <w:jc w:val="both"/>
        <w:rPr>
          <w:rFonts w:ascii="Calibri" w:eastAsia="Calibri" w:hAnsi="Calibri" w:cs="Calibri"/>
        </w:rPr>
      </w:pPr>
    </w:p>
    <w:p w14:paraId="0348E82B" w14:textId="77777777" w:rsidR="00A47DC5" w:rsidRDefault="00A47DC5" w:rsidP="000B6D3B">
      <w:pPr>
        <w:numPr>
          <w:ilvl w:val="12"/>
          <w:numId w:val="0"/>
        </w:numPr>
        <w:spacing w:after="0" w:line="240" w:lineRule="auto"/>
        <w:ind w:firstLine="708"/>
        <w:jc w:val="both"/>
        <w:rPr>
          <w:rFonts w:ascii="Calibri" w:eastAsia="Calibri" w:hAnsi="Calibri" w:cs="Calibri"/>
        </w:rPr>
      </w:pPr>
    </w:p>
    <w:p w14:paraId="41293898" w14:textId="77777777" w:rsidR="000B6D3B" w:rsidRDefault="000B6D3B" w:rsidP="000B6D3B">
      <w:pPr>
        <w:numPr>
          <w:ilvl w:val="12"/>
          <w:numId w:val="0"/>
        </w:numPr>
        <w:spacing w:after="0" w:line="240" w:lineRule="auto"/>
        <w:jc w:val="both"/>
        <w:rPr>
          <w:rFonts w:ascii="Calibri" w:eastAsia="Calibri" w:hAnsi="Calibri" w:cs="Calibri"/>
          <w:b/>
          <w:bCs/>
          <w:iCs/>
        </w:rPr>
      </w:pPr>
      <w:r>
        <w:rPr>
          <w:rFonts w:ascii="Calibri" w:eastAsia="Calibri" w:hAnsi="Calibri" w:cs="Calibri"/>
          <w:b/>
          <w:bCs/>
          <w:iCs/>
        </w:rPr>
        <w:lastRenderedPageBreak/>
        <w:t>2.2.</w:t>
      </w:r>
      <w:r>
        <w:rPr>
          <w:rFonts w:ascii="Calibri" w:eastAsia="Calibri" w:hAnsi="Calibri" w:cs="Calibri"/>
          <w:b/>
          <w:bCs/>
          <w:iCs/>
        </w:rPr>
        <w:tab/>
        <w:t xml:space="preserve">UKUPNI RASHODI </w:t>
      </w:r>
    </w:p>
    <w:p w14:paraId="656CEEA4" w14:textId="77777777" w:rsidR="000B6D3B" w:rsidRDefault="000B6D3B" w:rsidP="000B6D3B">
      <w:pPr>
        <w:numPr>
          <w:ilvl w:val="12"/>
          <w:numId w:val="0"/>
        </w:numPr>
        <w:spacing w:after="0" w:line="240" w:lineRule="auto"/>
        <w:ind w:firstLine="708"/>
        <w:jc w:val="both"/>
        <w:rPr>
          <w:rFonts w:ascii="Calibri" w:eastAsia="Calibri" w:hAnsi="Calibri" w:cs="Calibri"/>
          <w:b/>
          <w:iCs/>
        </w:rPr>
      </w:pPr>
    </w:p>
    <w:p w14:paraId="1F0BF81A" w14:textId="77777777" w:rsidR="000B6D3B" w:rsidRDefault="000B6D3B" w:rsidP="000B6D3B">
      <w:pPr>
        <w:numPr>
          <w:ilvl w:val="12"/>
          <w:numId w:val="0"/>
        </w:numPr>
        <w:spacing w:after="0" w:line="240" w:lineRule="auto"/>
        <w:ind w:firstLine="708"/>
        <w:jc w:val="both"/>
        <w:rPr>
          <w:rFonts w:ascii="Calibri" w:eastAsia="Calibri" w:hAnsi="Calibri" w:cs="Calibri"/>
        </w:rPr>
      </w:pPr>
      <w:r>
        <w:rPr>
          <w:rFonts w:ascii="Calibri" w:eastAsia="Calibri" w:hAnsi="Calibri" w:cs="Calibri"/>
          <w:b/>
          <w:iCs/>
        </w:rPr>
        <w:t>Materijalni troškovi</w:t>
      </w:r>
      <w:r>
        <w:rPr>
          <w:rFonts w:ascii="Calibri" w:eastAsia="Calibri" w:hAnsi="Calibri" w:cs="Calibri"/>
          <w:iCs/>
        </w:rPr>
        <w:t xml:space="preserve"> u iznosu od </w:t>
      </w:r>
      <w:r>
        <w:rPr>
          <w:rFonts w:ascii="Calibri" w:eastAsia="Times New Roman" w:hAnsi="Calibri" w:cs="Calibri"/>
          <w:iCs/>
        </w:rPr>
        <w:t>22.977.681,58</w:t>
      </w:r>
      <w:r>
        <w:rPr>
          <w:rFonts w:ascii="Calibri" w:eastAsia="Calibri" w:hAnsi="Calibri" w:cs="Calibri"/>
          <w:iCs/>
        </w:rPr>
        <w:t xml:space="preserve"> kn sudjeluju u ukupnim rashodima s 40,5% (2019. godine iznosili su 25.526.874,44 kn), a odnose se na troškove sirovina i materijala u iznosu od 8.359.310,75 kn (2019. godine 9.400.686,70 kn), te ostale vanjske troškove 14.618.370,83 kn (2019. godine 16.126.187,74 kn).</w:t>
      </w:r>
      <w:r>
        <w:rPr>
          <w:rFonts w:ascii="Calibri" w:eastAsia="Calibri" w:hAnsi="Calibri" w:cs="Calibri"/>
        </w:rPr>
        <w:t xml:space="preserve"> </w:t>
      </w:r>
    </w:p>
    <w:p w14:paraId="2939ADDA" w14:textId="77777777" w:rsidR="000B6D3B" w:rsidRDefault="000B6D3B" w:rsidP="000B6D3B">
      <w:pPr>
        <w:numPr>
          <w:ilvl w:val="12"/>
          <w:numId w:val="0"/>
        </w:numPr>
        <w:spacing w:after="0" w:line="240" w:lineRule="auto"/>
        <w:ind w:firstLine="708"/>
        <w:jc w:val="both"/>
        <w:rPr>
          <w:rFonts w:ascii="Calibri" w:eastAsia="Calibri" w:hAnsi="Calibri" w:cs="Calibri"/>
          <w:iCs/>
        </w:rPr>
      </w:pPr>
      <w:r>
        <w:rPr>
          <w:rFonts w:ascii="Calibri" w:eastAsia="Calibri" w:hAnsi="Calibri" w:cs="Calibri"/>
          <w:iCs/>
        </w:rPr>
        <w:t xml:space="preserve">Troškovi sirovina i materijala manji su od prošlogodišnjih za 11%, a čine ih: trošak materijala, rezervnih dijelova i sitnog inventara (4.296.672,43 kn), trošak kupljene vode s kopna (859.376,60 kn), trošak energije, goriva i maziva (3.115.938,88 kn), trošak uredskog materijala i zaštitne odjeće (87.322,84 kn).  </w:t>
      </w:r>
    </w:p>
    <w:p w14:paraId="24CF44B6" w14:textId="77777777" w:rsidR="000B6D3B" w:rsidRDefault="000B6D3B" w:rsidP="000B6D3B">
      <w:pPr>
        <w:numPr>
          <w:ilvl w:val="12"/>
          <w:numId w:val="0"/>
        </w:numPr>
        <w:spacing w:after="0" w:line="240" w:lineRule="auto"/>
        <w:ind w:firstLine="708"/>
        <w:jc w:val="both"/>
        <w:rPr>
          <w:rFonts w:ascii="Calibri" w:eastAsia="Calibri" w:hAnsi="Calibri" w:cs="Calibri"/>
          <w:iCs/>
        </w:rPr>
      </w:pPr>
    </w:p>
    <w:p w14:paraId="3E8BBCA7" w14:textId="77777777" w:rsidR="000B6D3B" w:rsidRDefault="000B6D3B" w:rsidP="000B6D3B">
      <w:pPr>
        <w:spacing w:after="0" w:line="240" w:lineRule="auto"/>
        <w:ind w:firstLine="708"/>
        <w:jc w:val="both"/>
        <w:rPr>
          <w:rFonts w:ascii="Calibri" w:eastAsia="Times New Roman" w:hAnsi="Calibri" w:cs="Calibri"/>
          <w:bCs/>
          <w:iCs/>
        </w:rPr>
      </w:pPr>
      <w:bookmarkStart w:id="0" w:name="_Hlk72760907"/>
      <w:r>
        <w:rPr>
          <w:rFonts w:ascii="Calibri" w:eastAsia="Calibri" w:hAnsi="Calibri" w:cs="Calibri"/>
          <w:b/>
          <w:bCs/>
          <w:iCs/>
        </w:rPr>
        <w:t>Ostali vanjski troškovi</w:t>
      </w:r>
      <w:r>
        <w:rPr>
          <w:rFonts w:ascii="Calibri" w:eastAsia="Calibri" w:hAnsi="Calibri" w:cs="Calibri"/>
          <w:iCs/>
        </w:rPr>
        <w:t xml:space="preserve"> manji su od prošlogodišnjih za 9,4%. U istima se ističe trošak u iznosu od </w:t>
      </w:r>
      <w:r>
        <w:rPr>
          <w:rFonts w:ascii="Calibri" w:eastAsia="Times New Roman" w:hAnsi="Calibri" w:cs="Calibri"/>
          <w:bCs/>
          <w:iCs/>
        </w:rPr>
        <w:t>7.031.894,13 kn</w:t>
      </w:r>
      <w:r>
        <w:rPr>
          <w:rFonts w:ascii="Calibri" w:eastAsia="Calibri" w:hAnsi="Calibri" w:cs="Calibri"/>
          <w:iCs/>
        </w:rPr>
        <w:t xml:space="preserve"> za usluge pružene drugim pravnim osobama po računima izvođača i nadzora, a koji je u </w:t>
      </w:r>
      <w:r>
        <w:rPr>
          <w:rFonts w:ascii="Calibri" w:eastAsia="Times New Roman" w:hAnsi="Calibri" w:cs="Calibri"/>
          <w:bCs/>
          <w:iCs/>
        </w:rPr>
        <w:t>istom iznosu iskazan i u prihodima</w:t>
      </w:r>
      <w:r>
        <w:rPr>
          <w:rFonts w:ascii="Calibri" w:eastAsia="Calibri" w:hAnsi="Calibri" w:cs="Calibri"/>
          <w:iCs/>
        </w:rPr>
        <w:t xml:space="preserve"> (</w:t>
      </w:r>
      <w:r>
        <w:rPr>
          <w:rFonts w:ascii="Calibri" w:eastAsia="Times New Roman" w:hAnsi="Calibri" w:cs="Calibri"/>
          <w:bCs/>
          <w:iCs/>
        </w:rPr>
        <w:t xml:space="preserve">6.729.380,13 kn usluga izgradnje EKM mreže u istom  infrastrukturnom kanalu fekalne kanalizacije EU projekta te 302.514,00 kn za druge radove). </w:t>
      </w:r>
    </w:p>
    <w:p w14:paraId="11D137E6" w14:textId="77777777" w:rsidR="000B6D3B" w:rsidRDefault="000B6D3B" w:rsidP="000B6D3B">
      <w:pPr>
        <w:spacing w:after="0" w:line="240" w:lineRule="auto"/>
        <w:jc w:val="both"/>
        <w:rPr>
          <w:rFonts w:ascii="Calibri" w:eastAsia="Calibri" w:hAnsi="Calibri" w:cs="Calibri"/>
          <w:iCs/>
        </w:rPr>
      </w:pPr>
      <w:r>
        <w:rPr>
          <w:rFonts w:ascii="Calibri" w:eastAsia="Calibri" w:hAnsi="Calibri" w:cs="Calibri"/>
        </w:rPr>
        <w:t xml:space="preserve">Osim navedenog, u ostalim </w:t>
      </w:r>
      <w:r>
        <w:rPr>
          <w:rFonts w:ascii="Calibri" w:eastAsia="Calibri" w:hAnsi="Calibri" w:cs="Calibri"/>
          <w:iCs/>
        </w:rPr>
        <w:t>vanjskim troškovima ističu se usluge održavanja (2.102.773,08 kn - 42% manje od 2019. godine), administrativno računovodstveni poslovi (3.559.455,08 kn) te ostale usluge (intelektualne, promidžba, zakupnine, zaštita na radu, sudski troškovi i pristojbe i slično – 1.924.248,54 kn). Dio ovih troškova (popravci pumpi te popravci vozila i opreme) pokriven je iz naknada šteta od osiguranja i nalazi se u prihodima.</w:t>
      </w:r>
    </w:p>
    <w:p w14:paraId="225A353E" w14:textId="77777777" w:rsidR="000B6D3B" w:rsidRDefault="000B6D3B" w:rsidP="000B6D3B">
      <w:pPr>
        <w:spacing w:after="0" w:line="240" w:lineRule="auto"/>
        <w:jc w:val="both"/>
        <w:rPr>
          <w:rFonts w:ascii="Calibri" w:eastAsia="Calibri" w:hAnsi="Calibri" w:cs="Calibri"/>
        </w:rPr>
      </w:pPr>
    </w:p>
    <w:bookmarkEnd w:id="0"/>
    <w:p w14:paraId="79B95852" w14:textId="77777777" w:rsidR="000B6D3B" w:rsidRDefault="000B6D3B" w:rsidP="000B6D3B">
      <w:pPr>
        <w:spacing w:after="0" w:line="240" w:lineRule="auto"/>
        <w:ind w:right="92" w:firstLine="708"/>
        <w:jc w:val="both"/>
        <w:rPr>
          <w:rFonts w:ascii="Calibri" w:eastAsia="Calibri" w:hAnsi="Calibri" w:cs="Calibri"/>
          <w:iCs/>
        </w:rPr>
      </w:pPr>
      <w:r>
        <w:rPr>
          <w:rFonts w:ascii="Calibri" w:eastAsia="Calibri" w:hAnsi="Calibri" w:cs="Calibri"/>
          <w:b/>
          <w:iCs/>
        </w:rPr>
        <w:t>Troškovi osoblja</w:t>
      </w:r>
      <w:r>
        <w:rPr>
          <w:rFonts w:ascii="Calibri" w:eastAsia="Calibri" w:hAnsi="Calibri" w:cs="Calibri"/>
          <w:iCs/>
        </w:rPr>
        <w:t xml:space="preserve"> u iznosu od 10.716.309,70 kn (2018. godine 11.521.936,28 kn) sudjeluju u ukupnim rashodima s 18,9%. Prosječna bruto plaća u 2020 . godini iznosila je 8.752,94 kn, a neto 6.545,32 kn, dok je u 2019. godini prosječna bruto plaća iznosila 9.158,08 kn, a neto 6.752,73 kn. </w:t>
      </w:r>
    </w:p>
    <w:p w14:paraId="567E48F5" w14:textId="77777777" w:rsidR="000B6D3B" w:rsidRDefault="000B6D3B" w:rsidP="000B6D3B">
      <w:pPr>
        <w:spacing w:after="0" w:line="240" w:lineRule="auto"/>
        <w:ind w:right="92"/>
        <w:jc w:val="both"/>
        <w:rPr>
          <w:rFonts w:ascii="Calibri" w:eastAsia="Calibri" w:hAnsi="Calibri" w:cs="Calibri"/>
          <w:bCs/>
          <w:iCs/>
        </w:rPr>
      </w:pPr>
    </w:p>
    <w:p w14:paraId="45C1D2EB" w14:textId="77777777" w:rsidR="000B6D3B" w:rsidRDefault="000B6D3B" w:rsidP="000B6D3B">
      <w:pPr>
        <w:spacing w:after="0" w:line="240" w:lineRule="auto"/>
        <w:ind w:right="92" w:firstLine="708"/>
        <w:jc w:val="both"/>
        <w:rPr>
          <w:rFonts w:ascii="Calibri" w:eastAsia="Calibri" w:hAnsi="Calibri" w:cs="Calibri"/>
          <w:iCs/>
        </w:rPr>
      </w:pPr>
      <w:r>
        <w:rPr>
          <w:rFonts w:ascii="Calibri" w:eastAsia="Calibri" w:hAnsi="Calibri" w:cs="Calibri"/>
          <w:b/>
          <w:iCs/>
        </w:rPr>
        <w:t xml:space="preserve">Troškovi amortizacije </w:t>
      </w:r>
      <w:r>
        <w:rPr>
          <w:rFonts w:ascii="Calibri" w:eastAsia="Calibri" w:hAnsi="Calibri" w:cs="Calibri"/>
          <w:iCs/>
        </w:rPr>
        <w:t xml:space="preserve">u 2020. godini iznose </w:t>
      </w:r>
      <w:r>
        <w:rPr>
          <w:rFonts w:ascii="Calibri" w:eastAsia="Times New Roman" w:hAnsi="Calibri" w:cs="Calibri"/>
          <w:iCs/>
        </w:rPr>
        <w:t>19.801.153,70</w:t>
      </w:r>
      <w:r>
        <w:rPr>
          <w:rFonts w:ascii="Calibri" w:eastAsia="Calibri" w:hAnsi="Calibri" w:cs="Calibri"/>
          <w:iCs/>
        </w:rPr>
        <w:t xml:space="preserve"> kn (2019. godine 19.553.474,33 kn) i sudjeluju u ukupnim rashodima s 34,9% .</w:t>
      </w:r>
    </w:p>
    <w:p w14:paraId="37C55B23" w14:textId="77777777" w:rsidR="000B6D3B" w:rsidRDefault="000B6D3B" w:rsidP="000B6D3B">
      <w:pPr>
        <w:tabs>
          <w:tab w:val="left" w:pos="-180"/>
        </w:tabs>
        <w:spacing w:after="0" w:line="240" w:lineRule="auto"/>
        <w:ind w:right="140"/>
        <w:jc w:val="both"/>
        <w:rPr>
          <w:rFonts w:ascii="Calibri" w:eastAsia="Calibri" w:hAnsi="Calibri" w:cs="Calibri"/>
          <w:iCs/>
        </w:rPr>
      </w:pPr>
      <w:r>
        <w:rPr>
          <w:rFonts w:ascii="Calibri" w:eastAsia="Calibri" w:hAnsi="Calibri" w:cs="Calibri"/>
          <w:iCs/>
        </w:rPr>
        <w:t>Društvo je iskazalo prihod u visini obračunate amortizacije imovine nabavljene iz sredstava potpora u iznosu 5.682.656,44 kn (u 2019. godini 5.549.406,05 kn). Efekt na rezultat Društva iznosi 14.118.497,26 kn.</w:t>
      </w:r>
    </w:p>
    <w:p w14:paraId="2946186C" w14:textId="77777777" w:rsidR="000B6D3B" w:rsidRDefault="000B6D3B" w:rsidP="000B6D3B">
      <w:pPr>
        <w:tabs>
          <w:tab w:val="left" w:pos="708"/>
          <w:tab w:val="center" w:pos="4536"/>
          <w:tab w:val="right" w:pos="9072"/>
        </w:tabs>
        <w:spacing w:after="0" w:line="240" w:lineRule="auto"/>
        <w:jc w:val="both"/>
        <w:rPr>
          <w:rFonts w:ascii="Calibri" w:eastAsia="Times New Roman" w:hAnsi="Calibri" w:cs="Calibri"/>
        </w:rPr>
      </w:pPr>
    </w:p>
    <w:p w14:paraId="01239E63" w14:textId="77777777" w:rsidR="000B6D3B" w:rsidRDefault="000B6D3B" w:rsidP="000B6D3B">
      <w:pPr>
        <w:spacing w:after="0" w:line="240" w:lineRule="auto"/>
        <w:ind w:right="92" w:firstLine="708"/>
        <w:jc w:val="both"/>
        <w:rPr>
          <w:rFonts w:ascii="Calibri" w:eastAsia="Calibri" w:hAnsi="Calibri" w:cs="Calibri"/>
          <w:iCs/>
        </w:rPr>
      </w:pPr>
      <w:r>
        <w:rPr>
          <w:rFonts w:ascii="Calibri" w:eastAsia="Calibri" w:hAnsi="Calibri" w:cs="Calibri"/>
          <w:b/>
          <w:iCs/>
        </w:rPr>
        <w:t>Ostali troškovi poslovanja</w:t>
      </w:r>
      <w:r>
        <w:rPr>
          <w:rFonts w:ascii="Calibri" w:eastAsia="Calibri" w:hAnsi="Calibri" w:cs="Calibri"/>
          <w:iCs/>
        </w:rPr>
        <w:t xml:space="preserve"> iznose 1.429.204,39 kn (2019. godine 2.083.505,52 kn) i sudjeluju u ukupnim rashodima s 2,5%. Navedeni troškovi obuhvaćaju: naknade zaposlenicima (prijevoz, prigodna nagrada, pomoći i slično – 475.500,03 kn),  premije osiguranja (424.189,98 kn), bankarske usluge i provizije (212.618,24 kn), koncesijske naknade na zahvaćanu vodu (162.233,57 kn) te ostale troškove (reprezentacija, porezi i doprinosi koji ne ovise o poslovnom rezultatu, ugovori o djelu, stručno obrazovanje – 154.662,57 kn). </w:t>
      </w:r>
    </w:p>
    <w:p w14:paraId="4E7FE374" w14:textId="77777777" w:rsidR="000B6D3B" w:rsidRDefault="000B6D3B" w:rsidP="000B6D3B">
      <w:pPr>
        <w:spacing w:after="0" w:line="240" w:lineRule="auto"/>
        <w:ind w:right="92"/>
        <w:jc w:val="both"/>
        <w:rPr>
          <w:rFonts w:ascii="Calibri" w:eastAsia="Calibri" w:hAnsi="Calibri" w:cs="Calibri"/>
          <w:iCs/>
        </w:rPr>
      </w:pPr>
    </w:p>
    <w:p w14:paraId="1B45A86B" w14:textId="77777777" w:rsidR="000B6D3B" w:rsidRDefault="000B6D3B" w:rsidP="000B6D3B">
      <w:pPr>
        <w:spacing w:after="0" w:line="240" w:lineRule="auto"/>
        <w:ind w:firstLine="708"/>
        <w:jc w:val="both"/>
        <w:rPr>
          <w:rFonts w:ascii="Calibri" w:eastAsia="Calibri" w:hAnsi="Calibri" w:cs="Calibri"/>
          <w:iCs/>
        </w:rPr>
      </w:pPr>
      <w:r>
        <w:rPr>
          <w:rFonts w:ascii="Calibri" w:eastAsia="Calibri" w:hAnsi="Calibri" w:cs="Calibri"/>
          <w:b/>
          <w:iCs/>
        </w:rPr>
        <w:t>Troškovi vrijednosnog usklađenja i otpisa potraživanja</w:t>
      </w:r>
      <w:r>
        <w:rPr>
          <w:rFonts w:ascii="Calibri" w:eastAsia="Calibri" w:hAnsi="Calibri" w:cs="Calibri"/>
          <w:iCs/>
        </w:rPr>
        <w:t xml:space="preserve"> u 2020. godini</w:t>
      </w:r>
      <w:r>
        <w:rPr>
          <w:rFonts w:ascii="Calibri" w:eastAsia="Calibri" w:hAnsi="Calibri" w:cs="Calibri"/>
        </w:rPr>
        <w:t xml:space="preserve"> </w:t>
      </w:r>
      <w:r>
        <w:rPr>
          <w:rFonts w:ascii="Calibri" w:eastAsia="Calibri" w:hAnsi="Calibri" w:cs="Calibri"/>
          <w:iCs/>
        </w:rPr>
        <w:t xml:space="preserve"> iznose 319.962,31 kn (2019. godine 309.962,31 kn) i sudjeluju u ukupnim rashodima s 0,6%. Obuhvaćaju potraživanja za koja su pokrenuti ovršni postupci ili potraživanja koja su prijavljena u (pred)stečajnu nagodbu (294.830,63 kn) te</w:t>
      </w:r>
      <w:r>
        <w:rPr>
          <w:rFonts w:ascii="Calibri" w:eastAsia="Calibri" w:hAnsi="Calibri" w:cs="Calibri"/>
        </w:rPr>
        <w:t xml:space="preserve"> o</w:t>
      </w:r>
      <w:r>
        <w:rPr>
          <w:rFonts w:ascii="Calibri" w:eastAsia="Calibri" w:hAnsi="Calibri" w:cs="Calibri"/>
          <w:iCs/>
        </w:rPr>
        <w:t xml:space="preserve">tpis nenaplativih potraživanja (25.131,68 kn). </w:t>
      </w:r>
    </w:p>
    <w:p w14:paraId="5A5AD68E" w14:textId="77777777" w:rsidR="000B6D3B" w:rsidRDefault="000B6D3B" w:rsidP="000B6D3B">
      <w:pPr>
        <w:spacing w:after="0" w:line="240" w:lineRule="auto"/>
        <w:ind w:right="92"/>
        <w:jc w:val="both"/>
        <w:rPr>
          <w:rFonts w:ascii="Calibri" w:eastAsia="Calibri" w:hAnsi="Calibri" w:cs="Calibri"/>
          <w:iCs/>
        </w:rPr>
      </w:pPr>
    </w:p>
    <w:p w14:paraId="69E5DC93" w14:textId="77777777" w:rsidR="000B6D3B" w:rsidRDefault="000B6D3B" w:rsidP="000B6D3B">
      <w:pPr>
        <w:spacing w:after="0" w:line="240" w:lineRule="auto"/>
        <w:ind w:right="92" w:firstLine="708"/>
        <w:jc w:val="both"/>
        <w:rPr>
          <w:rFonts w:ascii="Calibri" w:eastAsia="Calibri" w:hAnsi="Calibri" w:cs="Calibri"/>
          <w:iCs/>
        </w:rPr>
      </w:pPr>
      <w:r>
        <w:rPr>
          <w:rFonts w:ascii="Calibri" w:eastAsia="Calibri" w:hAnsi="Calibri" w:cs="Calibri"/>
          <w:b/>
          <w:iCs/>
        </w:rPr>
        <w:t>Ostali poslovni rashodi</w:t>
      </w:r>
      <w:r>
        <w:rPr>
          <w:rFonts w:ascii="Calibri" w:eastAsia="Calibri" w:hAnsi="Calibri" w:cs="Calibri"/>
          <w:iCs/>
        </w:rPr>
        <w:t xml:space="preserve"> u iznosu od 57.949,63 kn (2019. godine 503.713,21 kn) sudjeluju u ukupnim rashodima sa 0,1%. Odnose se na  naknadu šteta, prekršajne kazne i neotpisanu vrijednost rashodovane imovine.</w:t>
      </w:r>
    </w:p>
    <w:p w14:paraId="324BEF2F" w14:textId="77777777" w:rsidR="000B6D3B" w:rsidRDefault="000B6D3B" w:rsidP="000B6D3B">
      <w:pPr>
        <w:spacing w:after="0" w:line="240" w:lineRule="auto"/>
        <w:ind w:right="92"/>
        <w:jc w:val="both"/>
        <w:rPr>
          <w:rFonts w:ascii="Calibri" w:eastAsia="Calibri" w:hAnsi="Calibri" w:cs="Calibri"/>
          <w:iCs/>
        </w:rPr>
      </w:pPr>
    </w:p>
    <w:p w14:paraId="2623BA9D" w14:textId="77777777" w:rsidR="000B6D3B" w:rsidRDefault="000B6D3B" w:rsidP="000B6D3B">
      <w:pPr>
        <w:numPr>
          <w:ilvl w:val="12"/>
          <w:numId w:val="0"/>
        </w:numPr>
        <w:spacing w:after="0" w:line="240" w:lineRule="auto"/>
        <w:ind w:firstLine="708"/>
        <w:jc w:val="both"/>
        <w:rPr>
          <w:rFonts w:ascii="Calibri" w:eastAsia="Calibri" w:hAnsi="Calibri" w:cs="Calibri"/>
          <w:iCs/>
        </w:rPr>
      </w:pPr>
      <w:r>
        <w:rPr>
          <w:rFonts w:ascii="Calibri" w:eastAsia="Calibri" w:hAnsi="Calibri" w:cs="Calibri"/>
          <w:b/>
          <w:iCs/>
        </w:rPr>
        <w:t>Financijski rashodi</w:t>
      </w:r>
      <w:r>
        <w:rPr>
          <w:rFonts w:ascii="Calibri" w:eastAsia="Calibri" w:hAnsi="Calibri" w:cs="Calibri"/>
          <w:iCs/>
        </w:rPr>
        <w:t xml:space="preserve"> u iznosu od 1.389.308,39 kn (2019. godine 801.274,77 kn) odnose se na kamate po kreditima (1.175.000,61 kn), negativne tečajne razlike (214.181,14 kn) te zatezne kamate na zakašnjela plaćanja (126,64 kn). Dio kamata po kreditima otplaćuju jedinice lokalne samouprave te je ostvaren i prihod od potpora za pokriće tih troškova u iznosu od 307.988,76 kn, a dio se otplaćuje iz </w:t>
      </w:r>
      <w:r>
        <w:rPr>
          <w:rFonts w:ascii="Calibri" w:eastAsia="Calibri" w:hAnsi="Calibri" w:cs="Calibri"/>
          <w:iCs/>
        </w:rPr>
        <w:lastRenderedPageBreak/>
        <w:t>prikupljenih sredstava naknade za razvoj te je ostvaren prihod za pokriće tih troškova u iznosu od 49.450,74 kn.</w:t>
      </w:r>
    </w:p>
    <w:p w14:paraId="43BAD906" w14:textId="1EFF5AE4" w:rsidR="000B6D3B" w:rsidRDefault="000B6D3B" w:rsidP="000B6D3B">
      <w:pPr>
        <w:numPr>
          <w:ilvl w:val="12"/>
          <w:numId w:val="0"/>
        </w:numPr>
        <w:spacing w:after="0" w:line="240" w:lineRule="auto"/>
        <w:jc w:val="both"/>
        <w:rPr>
          <w:rFonts w:ascii="Calibri" w:eastAsia="Calibri" w:hAnsi="Calibri" w:cs="Calibri"/>
          <w:iCs/>
        </w:rPr>
      </w:pPr>
      <w:r>
        <w:rPr>
          <w:rFonts w:ascii="Calibri" w:eastAsia="Calibri" w:hAnsi="Calibri" w:cs="Calibri"/>
          <w:iCs/>
        </w:rPr>
        <w:t>Financijski rashodi sudjeluju u ukupnim rashodima s 2,5%.</w:t>
      </w:r>
    </w:p>
    <w:p w14:paraId="454EA92F" w14:textId="77777777" w:rsidR="00A47DC5" w:rsidRDefault="00A47DC5" w:rsidP="000B6D3B">
      <w:pPr>
        <w:numPr>
          <w:ilvl w:val="12"/>
          <w:numId w:val="0"/>
        </w:numPr>
        <w:spacing w:after="0" w:line="240" w:lineRule="auto"/>
        <w:jc w:val="both"/>
        <w:rPr>
          <w:rFonts w:ascii="Calibri" w:eastAsia="Calibri" w:hAnsi="Calibri" w:cs="Calibri"/>
          <w:iCs/>
        </w:rPr>
      </w:pPr>
    </w:p>
    <w:p w14:paraId="735AE405" w14:textId="77777777" w:rsidR="000B6D3B" w:rsidRDefault="000B6D3B" w:rsidP="000B6D3B">
      <w:pPr>
        <w:numPr>
          <w:ilvl w:val="0"/>
          <w:numId w:val="3"/>
        </w:numPr>
        <w:spacing w:after="0" w:line="240" w:lineRule="auto"/>
        <w:contextualSpacing/>
        <w:jc w:val="both"/>
        <w:rPr>
          <w:rFonts w:ascii="Calibri" w:eastAsia="Times New Roman" w:hAnsi="Calibri" w:cs="Calibri"/>
          <w:b/>
          <w:iCs/>
          <w:sz w:val="24"/>
          <w:szCs w:val="24"/>
        </w:rPr>
      </w:pPr>
      <w:r>
        <w:rPr>
          <w:rFonts w:ascii="Calibri" w:eastAsia="Times New Roman" w:hAnsi="Calibri" w:cs="Calibri"/>
          <w:b/>
          <w:iCs/>
          <w:sz w:val="24"/>
          <w:szCs w:val="24"/>
        </w:rPr>
        <w:t>ZNAČAJNE INVESTICIJE</w:t>
      </w:r>
    </w:p>
    <w:p w14:paraId="00EA7946" w14:textId="77777777" w:rsidR="000B6D3B" w:rsidRDefault="000B6D3B" w:rsidP="000B6D3B">
      <w:pPr>
        <w:spacing w:after="0" w:line="240" w:lineRule="auto"/>
        <w:jc w:val="both"/>
        <w:rPr>
          <w:rFonts w:ascii="Calibri" w:eastAsia="Calibri" w:hAnsi="Calibri" w:cs="Calibri"/>
          <w:iCs/>
        </w:rPr>
      </w:pPr>
    </w:p>
    <w:p w14:paraId="3E3B2F32" w14:textId="77777777" w:rsidR="000B6D3B" w:rsidRDefault="000B6D3B" w:rsidP="000B6D3B">
      <w:pPr>
        <w:spacing w:after="0" w:line="240" w:lineRule="auto"/>
        <w:jc w:val="both"/>
        <w:rPr>
          <w:rFonts w:ascii="Calibri" w:eastAsia="Calibri" w:hAnsi="Calibri" w:cs="Calibri"/>
          <w:iCs/>
        </w:rPr>
      </w:pPr>
      <w:r>
        <w:rPr>
          <w:rFonts w:ascii="Calibri" w:eastAsia="Calibri" w:hAnsi="Calibri" w:cs="Calibri"/>
          <w:iCs/>
        </w:rPr>
        <w:t>U 2020. godini treba istaknuti  sljedeće investicije:</w:t>
      </w:r>
    </w:p>
    <w:p w14:paraId="7F8E76EA" w14:textId="77777777" w:rsidR="000B6D3B" w:rsidRDefault="000B6D3B" w:rsidP="000B6D3B">
      <w:pPr>
        <w:numPr>
          <w:ilvl w:val="12"/>
          <w:numId w:val="0"/>
        </w:numPr>
        <w:spacing w:after="0" w:line="240" w:lineRule="auto"/>
        <w:jc w:val="both"/>
        <w:rPr>
          <w:rFonts w:ascii="Calibri" w:eastAsia="Calibri" w:hAnsi="Calibri" w:cs="Calibri"/>
          <w:iCs/>
        </w:rPr>
      </w:pPr>
      <w:r>
        <w:rPr>
          <w:rFonts w:ascii="Calibri" w:eastAsia="Calibri" w:hAnsi="Calibri" w:cs="Calibri"/>
          <w:iCs/>
        </w:rPr>
        <w:t>- EU projekt „Projekt prikupljanja, pročišćavanja i odvodnje otpadnih voda na području otoka Krka“,</w:t>
      </w:r>
    </w:p>
    <w:p w14:paraId="1774EDF0" w14:textId="77777777" w:rsidR="000B6D3B" w:rsidRDefault="000B6D3B" w:rsidP="000B6D3B">
      <w:pPr>
        <w:numPr>
          <w:ilvl w:val="12"/>
          <w:numId w:val="0"/>
        </w:numPr>
        <w:spacing w:after="0" w:line="240" w:lineRule="auto"/>
        <w:jc w:val="both"/>
        <w:rPr>
          <w:rFonts w:ascii="Calibri" w:eastAsia="Calibri" w:hAnsi="Calibri" w:cs="Calibri"/>
          <w:iCs/>
        </w:rPr>
      </w:pPr>
      <w:r>
        <w:rPr>
          <w:rFonts w:ascii="Calibri" w:eastAsia="Calibri" w:hAnsi="Calibri" w:cs="Calibri"/>
          <w:iCs/>
        </w:rPr>
        <w:t>- projektna dokumentacija “Vodoopskrbni sustav Krka-podsustav Ponikve II faza“,</w:t>
      </w:r>
    </w:p>
    <w:p w14:paraId="7BD8DEA2" w14:textId="77777777" w:rsidR="000B6D3B" w:rsidRDefault="000B6D3B" w:rsidP="000B6D3B">
      <w:pPr>
        <w:numPr>
          <w:ilvl w:val="12"/>
          <w:numId w:val="0"/>
        </w:numPr>
        <w:spacing w:after="0" w:line="240" w:lineRule="auto"/>
        <w:jc w:val="both"/>
        <w:rPr>
          <w:rFonts w:ascii="Calibri" w:eastAsia="Calibri" w:hAnsi="Calibri" w:cs="Calibri"/>
          <w:iCs/>
        </w:rPr>
      </w:pPr>
      <w:r>
        <w:rPr>
          <w:rFonts w:ascii="Calibri" w:eastAsia="Calibri" w:hAnsi="Calibri" w:cs="Calibri"/>
          <w:iCs/>
        </w:rPr>
        <w:t>- rekonstrukcija i izgradnja transportnih cjevovoda.</w:t>
      </w:r>
    </w:p>
    <w:p w14:paraId="49E1F3DF" w14:textId="77777777" w:rsidR="000B6D3B" w:rsidRDefault="000B6D3B" w:rsidP="000B6D3B">
      <w:pPr>
        <w:numPr>
          <w:ilvl w:val="12"/>
          <w:numId w:val="0"/>
        </w:numPr>
        <w:spacing w:after="0" w:line="240" w:lineRule="auto"/>
        <w:jc w:val="both"/>
        <w:rPr>
          <w:rFonts w:ascii="Calibri" w:eastAsia="Calibri" w:hAnsi="Calibri" w:cs="Calibri"/>
          <w:iCs/>
          <w:highlight w:val="yellow"/>
        </w:rPr>
      </w:pPr>
    </w:p>
    <w:p w14:paraId="7C559823" w14:textId="77777777" w:rsidR="000B6D3B" w:rsidRDefault="000B6D3B" w:rsidP="000B6D3B">
      <w:pPr>
        <w:numPr>
          <w:ilvl w:val="12"/>
          <w:numId w:val="0"/>
        </w:numPr>
        <w:spacing w:after="0" w:line="240" w:lineRule="auto"/>
        <w:jc w:val="both"/>
        <w:rPr>
          <w:rFonts w:ascii="Calibri" w:eastAsia="Calibri" w:hAnsi="Calibri" w:cs="Calibri"/>
          <w:iCs/>
          <w:highlight w:val="yellow"/>
        </w:rPr>
      </w:pPr>
    </w:p>
    <w:p w14:paraId="7ABA66A8" w14:textId="77777777" w:rsidR="000B6D3B" w:rsidRDefault="000B6D3B" w:rsidP="000B6D3B">
      <w:pPr>
        <w:numPr>
          <w:ilvl w:val="1"/>
          <w:numId w:val="3"/>
        </w:numPr>
        <w:spacing w:after="0" w:line="240" w:lineRule="auto"/>
        <w:ind w:right="92"/>
        <w:contextualSpacing/>
        <w:jc w:val="both"/>
        <w:rPr>
          <w:rFonts w:ascii="Calibri" w:eastAsia="Times New Roman" w:hAnsi="Calibri" w:cs="Calibri"/>
          <w:b/>
          <w:bCs/>
          <w:iCs/>
        </w:rPr>
      </w:pPr>
      <w:r>
        <w:rPr>
          <w:rFonts w:ascii="Calibri" w:eastAsia="Times New Roman" w:hAnsi="Calibri" w:cs="Calibri"/>
          <w:b/>
          <w:bCs/>
          <w:iCs/>
        </w:rPr>
        <w:t xml:space="preserve"> EU projekt „Projekt prikupljanja, pročišćavanja i odvodnje otpadnih voda na području otoka Krka“</w:t>
      </w:r>
    </w:p>
    <w:p w14:paraId="5C012341" w14:textId="77777777" w:rsidR="000B6D3B" w:rsidRDefault="000B6D3B" w:rsidP="000B6D3B">
      <w:pPr>
        <w:spacing w:after="0" w:line="240" w:lineRule="auto"/>
        <w:ind w:right="92"/>
        <w:contextualSpacing/>
        <w:jc w:val="both"/>
        <w:rPr>
          <w:rFonts w:ascii="Calibri" w:eastAsia="Times New Roman" w:hAnsi="Calibri" w:cs="Calibri"/>
          <w:iCs/>
        </w:rPr>
      </w:pPr>
    </w:p>
    <w:p w14:paraId="32B267EE" w14:textId="77777777" w:rsidR="000B6D3B" w:rsidRDefault="000B6D3B" w:rsidP="000B6D3B">
      <w:pPr>
        <w:spacing w:after="0" w:line="240" w:lineRule="auto"/>
        <w:ind w:right="92"/>
        <w:contextualSpacing/>
        <w:jc w:val="both"/>
        <w:rPr>
          <w:rFonts w:ascii="Calibri" w:eastAsia="Times New Roman" w:hAnsi="Calibri" w:cs="Calibri"/>
        </w:rPr>
      </w:pPr>
      <w:r>
        <w:rPr>
          <w:rFonts w:ascii="Calibri" w:eastAsia="Times New Roman" w:hAnsi="Calibri" w:cs="Calibri"/>
          <w:iCs/>
        </w:rPr>
        <w:t xml:space="preserve">U 2020. godini nastavlja se provedba EU projekta „Projekt prikupljanja, pročišćavanja i odvodnje otpadnih voda na području otoka Krka“ </w:t>
      </w:r>
      <w:r>
        <w:rPr>
          <w:rFonts w:ascii="Calibri" w:eastAsia="Times New Roman" w:hAnsi="Calibri" w:cs="Calibri"/>
        </w:rPr>
        <w:t xml:space="preserve">koji je započeo u 2017. godini, a odobren Odlukom Ministarstva zaštite okoliša i energetike 11. svibnja 2017. godine i njenom dopunom od 06. lipnja 2017. godine. </w:t>
      </w:r>
    </w:p>
    <w:p w14:paraId="0149DDD9" w14:textId="77777777" w:rsidR="000B6D3B" w:rsidRDefault="000B6D3B" w:rsidP="000B6D3B">
      <w:pPr>
        <w:spacing w:after="0" w:line="240" w:lineRule="auto"/>
        <w:ind w:right="92"/>
        <w:contextualSpacing/>
        <w:jc w:val="both"/>
        <w:rPr>
          <w:rFonts w:ascii="Calibri" w:eastAsia="Times New Roman" w:hAnsi="Calibri" w:cs="Calibri"/>
          <w:bCs/>
          <w:iCs/>
        </w:rPr>
      </w:pPr>
      <w:r>
        <w:rPr>
          <w:rFonts w:ascii="Calibri" w:eastAsia="Times New Roman" w:hAnsi="Calibri" w:cs="Calibri"/>
        </w:rPr>
        <w:t>26. srpnja 2017. godine potpisani su ugovori:</w:t>
      </w:r>
    </w:p>
    <w:p w14:paraId="09D06CC8" w14:textId="77777777" w:rsidR="000B6D3B" w:rsidRDefault="000B6D3B" w:rsidP="000B6D3B">
      <w:pPr>
        <w:spacing w:after="0" w:line="240" w:lineRule="auto"/>
        <w:ind w:right="92"/>
        <w:jc w:val="both"/>
        <w:rPr>
          <w:rFonts w:ascii="Calibri" w:eastAsia="Times New Roman" w:hAnsi="Calibri" w:cs="Calibri"/>
        </w:rPr>
      </w:pPr>
      <w:r>
        <w:rPr>
          <w:rFonts w:ascii="Calibri" w:eastAsia="Times New Roman" w:hAnsi="Calibri" w:cs="Calibri"/>
        </w:rPr>
        <w:t xml:space="preserve">- </w:t>
      </w:r>
      <w:r>
        <w:rPr>
          <w:rFonts w:ascii="Calibri" w:eastAsia="Times New Roman" w:hAnsi="Calibri" w:cs="Calibri"/>
          <w:b/>
          <w:bCs/>
        </w:rPr>
        <w:t>Ugovor o dodjeli bespovratnih sredstava</w:t>
      </w:r>
      <w:r>
        <w:rPr>
          <w:rFonts w:ascii="Calibri" w:eastAsia="Times New Roman" w:hAnsi="Calibri" w:cs="Calibri"/>
        </w:rPr>
        <w:t xml:space="preserve"> EU projekta s Ministarstvom zaštite okoliša i energetike kao posredničkog tijela 1 i Hrvatskim vodama kao posredničkog tijela 2</w:t>
      </w:r>
    </w:p>
    <w:p w14:paraId="1BE9E8CF" w14:textId="77777777" w:rsidR="000B6D3B" w:rsidRDefault="000B6D3B" w:rsidP="000B6D3B">
      <w:pPr>
        <w:spacing w:after="0" w:line="240" w:lineRule="auto"/>
        <w:jc w:val="both"/>
        <w:rPr>
          <w:rFonts w:ascii="Calibri" w:eastAsia="Times New Roman" w:hAnsi="Calibri" w:cs="Calibri"/>
        </w:rPr>
      </w:pPr>
      <w:r>
        <w:rPr>
          <w:rFonts w:ascii="Calibri" w:eastAsia="Times New Roman" w:hAnsi="Calibri" w:cs="Calibri"/>
        </w:rPr>
        <w:t xml:space="preserve">- </w:t>
      </w:r>
      <w:r>
        <w:rPr>
          <w:rFonts w:ascii="Calibri" w:eastAsia="Times New Roman" w:hAnsi="Calibri" w:cs="Calibri"/>
          <w:b/>
          <w:bCs/>
        </w:rPr>
        <w:t>Ugovor o sufinanciranju</w:t>
      </w:r>
      <w:r>
        <w:rPr>
          <w:rFonts w:ascii="Calibri" w:eastAsia="Times New Roman" w:hAnsi="Calibri" w:cs="Calibri"/>
        </w:rPr>
        <w:t xml:space="preserve"> EU projekta s Ministarstvom zaštite okoliša i energetike kao posredničkog tijela 1, Hrvatskim vodama kao posredničkog tijela 2, te 6 jedinica lokalne samouprave (sve jedinice otoka Krka osim Vrbnika koji ne sudjeluje u EU projektu) i Ponikve vodom</w:t>
      </w:r>
    </w:p>
    <w:p w14:paraId="77951C5C" w14:textId="77777777" w:rsidR="000B6D3B" w:rsidRDefault="000B6D3B" w:rsidP="000B6D3B">
      <w:pPr>
        <w:spacing w:after="0" w:line="240" w:lineRule="auto"/>
        <w:jc w:val="both"/>
        <w:rPr>
          <w:rFonts w:ascii="Calibri" w:eastAsia="Times New Roman" w:hAnsi="Calibri" w:cs="Calibri"/>
        </w:rPr>
      </w:pPr>
      <w:r>
        <w:rPr>
          <w:rFonts w:ascii="Calibri" w:eastAsia="Times New Roman" w:hAnsi="Calibri" w:cs="Calibri"/>
        </w:rPr>
        <w:t xml:space="preserve">- </w:t>
      </w:r>
      <w:r>
        <w:rPr>
          <w:rFonts w:ascii="Calibri" w:eastAsia="Times New Roman" w:hAnsi="Calibri" w:cs="Calibri"/>
          <w:b/>
          <w:bCs/>
        </w:rPr>
        <w:t>Ugovor o partnerstvu</w:t>
      </w:r>
      <w:r>
        <w:rPr>
          <w:rFonts w:ascii="Calibri" w:eastAsia="Times New Roman" w:hAnsi="Calibri" w:cs="Calibri"/>
        </w:rPr>
        <w:t xml:space="preserve"> na EU projektu s jedinicama lokalne samouprave u kojem je navedena i obveza vraćanja kredita koji je Ponikve voda potpisala s Hrvatskom bankom za obnovu i razvoj (maksimalno 45 mil kn, fiksna godišnja kamatna stopa od 2,5%, rok otplate 10 godina), a kojeg će u cijelosti vraćati jedinice lokalne samouprave s obzirom da se radi o sredstvima koja će pokrivati dio lokalne komponente jedinica lokalne samouprave.</w:t>
      </w:r>
    </w:p>
    <w:p w14:paraId="2E6DDEBC" w14:textId="77777777" w:rsidR="000B6D3B" w:rsidRDefault="000B6D3B" w:rsidP="000B6D3B">
      <w:pPr>
        <w:spacing w:after="0" w:line="240" w:lineRule="auto"/>
        <w:ind w:left="360" w:right="92"/>
        <w:jc w:val="both"/>
        <w:rPr>
          <w:rFonts w:ascii="Calibri" w:eastAsia="Times New Roman" w:hAnsi="Calibri" w:cs="Calibri"/>
          <w:iCs/>
        </w:rPr>
      </w:pPr>
    </w:p>
    <w:p w14:paraId="4806A458" w14:textId="77777777" w:rsidR="000B6D3B" w:rsidRDefault="000B6D3B" w:rsidP="000B6D3B">
      <w:pPr>
        <w:spacing w:after="0" w:line="240" w:lineRule="auto"/>
        <w:jc w:val="both"/>
        <w:rPr>
          <w:rFonts w:ascii="Calibri" w:eastAsia="Times New Roman" w:hAnsi="Calibri" w:cs="Calibri"/>
        </w:rPr>
      </w:pPr>
      <w:r>
        <w:rPr>
          <w:rFonts w:ascii="Calibri" w:eastAsia="Times New Roman" w:hAnsi="Calibri" w:cs="Calibri"/>
        </w:rPr>
        <w:t xml:space="preserve">Ukupna vrijednost projekta procijenjena je na iznos od 648.312.359,00 kn. Prihvatljivi procijenjeni troškovi iznose </w:t>
      </w:r>
      <w:r>
        <w:rPr>
          <w:rFonts w:ascii="Calibri" w:eastAsia="Times New Roman" w:hAnsi="Calibri" w:cs="Calibri"/>
          <w:b/>
        </w:rPr>
        <w:t>510.913.257,00 kn</w:t>
      </w:r>
      <w:r>
        <w:rPr>
          <w:rFonts w:ascii="Calibri" w:eastAsia="Times New Roman" w:hAnsi="Calibri" w:cs="Calibri"/>
        </w:rPr>
        <w:t>, a neprihvatljivi trošak su ulaganja do 2014. godine i porez na dodanu vrijednost. Udjeli u sufinanciranju prihvaćenih planiranih troškova su sljedeći:</w:t>
      </w:r>
    </w:p>
    <w:p w14:paraId="41DB99D6" w14:textId="77777777" w:rsidR="000B6D3B" w:rsidRDefault="000B6D3B" w:rsidP="000B6D3B">
      <w:pPr>
        <w:spacing w:after="0" w:line="240" w:lineRule="auto"/>
        <w:jc w:val="both"/>
        <w:rPr>
          <w:rFonts w:ascii="Calibri" w:eastAsia="Times New Roman" w:hAnsi="Calibri" w:cs="Calibri"/>
          <w:sz w:val="10"/>
          <w:szCs w:val="10"/>
        </w:rPr>
      </w:pPr>
    </w:p>
    <w:p w14:paraId="20A986BA" w14:textId="77777777" w:rsidR="000B6D3B" w:rsidRDefault="000B6D3B" w:rsidP="000B6D3B">
      <w:pPr>
        <w:numPr>
          <w:ilvl w:val="0"/>
          <w:numId w:val="4"/>
        </w:numPr>
        <w:spacing w:after="0" w:line="240" w:lineRule="auto"/>
        <w:contextualSpacing/>
        <w:jc w:val="both"/>
        <w:rPr>
          <w:rFonts w:ascii="Calibri" w:eastAsia="Times New Roman" w:hAnsi="Calibri" w:cs="Calibri"/>
        </w:rPr>
      </w:pPr>
      <w:r>
        <w:rPr>
          <w:rFonts w:ascii="Calibri" w:eastAsia="Times New Roman" w:hAnsi="Calibri" w:cs="Calibri"/>
        </w:rPr>
        <w:t xml:space="preserve">bespovratna sredstva EU     369.138.660,00 kn (72,25075%) </w:t>
      </w:r>
    </w:p>
    <w:p w14:paraId="22A25B33" w14:textId="77777777" w:rsidR="000B6D3B" w:rsidRDefault="000B6D3B" w:rsidP="000B6D3B">
      <w:pPr>
        <w:numPr>
          <w:ilvl w:val="0"/>
          <w:numId w:val="4"/>
        </w:numPr>
        <w:spacing w:after="0" w:line="240" w:lineRule="auto"/>
        <w:contextualSpacing/>
        <w:jc w:val="both"/>
        <w:rPr>
          <w:rFonts w:ascii="Calibri" w:eastAsia="Times New Roman" w:hAnsi="Calibri" w:cs="Calibri"/>
        </w:rPr>
      </w:pPr>
      <w:r>
        <w:rPr>
          <w:rFonts w:ascii="Calibri" w:eastAsia="Times New Roman" w:hAnsi="Calibri" w:cs="Calibri"/>
        </w:rPr>
        <w:t xml:space="preserve">domaća komponenta </w:t>
      </w:r>
      <w:r>
        <w:rPr>
          <w:rFonts w:ascii="Calibri" w:eastAsia="Times New Roman" w:hAnsi="Calibri" w:cs="Calibri"/>
        </w:rPr>
        <w:tab/>
        <w:t xml:space="preserve">       141.774.597,00 kn (27,74925%)</w:t>
      </w:r>
      <w:r>
        <w:rPr>
          <w:rFonts w:ascii="Calibri" w:eastAsia="Times New Roman" w:hAnsi="Calibri" w:cs="Calibri"/>
        </w:rPr>
        <w:tab/>
      </w:r>
    </w:p>
    <w:p w14:paraId="49916DE5" w14:textId="77777777" w:rsidR="000B6D3B" w:rsidRDefault="000B6D3B" w:rsidP="000B6D3B">
      <w:pPr>
        <w:spacing w:after="0" w:line="240" w:lineRule="auto"/>
        <w:jc w:val="both"/>
        <w:rPr>
          <w:rFonts w:ascii="Calibri" w:eastAsia="Times New Roman" w:hAnsi="Calibri" w:cs="Calibri"/>
          <w:sz w:val="24"/>
          <w:szCs w:val="24"/>
        </w:rPr>
      </w:pPr>
    </w:p>
    <w:p w14:paraId="6B31D723" w14:textId="77777777" w:rsidR="000B6D3B" w:rsidRDefault="000B6D3B" w:rsidP="000B6D3B">
      <w:pPr>
        <w:spacing w:after="0" w:line="240" w:lineRule="auto"/>
        <w:jc w:val="both"/>
        <w:rPr>
          <w:rFonts w:ascii="Calibri" w:eastAsia="Times New Roman" w:hAnsi="Calibri" w:cs="Calibri"/>
        </w:rPr>
      </w:pPr>
      <w:r>
        <w:rPr>
          <w:rFonts w:ascii="Calibri" w:eastAsia="Times New Roman" w:hAnsi="Calibri" w:cs="Calibri"/>
        </w:rPr>
        <w:t>Udjeli u sufinanciranju domaće komponente su sljedeći:</w:t>
      </w:r>
    </w:p>
    <w:p w14:paraId="72173799" w14:textId="77777777" w:rsidR="000B6D3B" w:rsidRDefault="000B6D3B" w:rsidP="000B6D3B">
      <w:pPr>
        <w:spacing w:after="0" w:line="240" w:lineRule="auto"/>
        <w:jc w:val="both"/>
        <w:rPr>
          <w:rFonts w:ascii="Calibri" w:eastAsia="Times New Roman" w:hAnsi="Calibri" w:cs="Calibri"/>
          <w:sz w:val="10"/>
          <w:szCs w:val="10"/>
        </w:rPr>
      </w:pPr>
    </w:p>
    <w:p w14:paraId="7FBCD958" w14:textId="77777777" w:rsidR="000B6D3B" w:rsidRDefault="000B6D3B" w:rsidP="000B6D3B">
      <w:pPr>
        <w:numPr>
          <w:ilvl w:val="0"/>
          <w:numId w:val="4"/>
        </w:numPr>
        <w:spacing w:after="0" w:line="240" w:lineRule="auto"/>
        <w:contextualSpacing/>
        <w:jc w:val="both"/>
        <w:rPr>
          <w:rFonts w:ascii="Calibri" w:eastAsia="Times New Roman" w:hAnsi="Calibri" w:cs="Calibri"/>
        </w:rPr>
      </w:pPr>
      <w:r>
        <w:rPr>
          <w:rFonts w:ascii="Calibri" w:eastAsia="Times New Roman" w:hAnsi="Calibri" w:cs="Calibri"/>
        </w:rPr>
        <w:t xml:space="preserve">Ministarstvo zaštite okoliša i energetike </w:t>
      </w:r>
      <w:r>
        <w:rPr>
          <w:rFonts w:ascii="Calibri" w:eastAsia="Times New Roman" w:hAnsi="Calibri" w:cs="Calibri"/>
        </w:rPr>
        <w:tab/>
        <w:t xml:space="preserve">47.258.199 kn (33,33%) </w:t>
      </w:r>
    </w:p>
    <w:p w14:paraId="0AEB1369" w14:textId="77777777" w:rsidR="000B6D3B" w:rsidRDefault="000B6D3B" w:rsidP="000B6D3B">
      <w:pPr>
        <w:numPr>
          <w:ilvl w:val="0"/>
          <w:numId w:val="4"/>
        </w:numPr>
        <w:spacing w:after="0" w:line="240" w:lineRule="auto"/>
        <w:contextualSpacing/>
        <w:jc w:val="both"/>
        <w:rPr>
          <w:rFonts w:ascii="Calibri" w:eastAsia="Times New Roman" w:hAnsi="Calibri" w:cs="Calibri"/>
        </w:rPr>
      </w:pPr>
      <w:r>
        <w:rPr>
          <w:rFonts w:ascii="Calibri" w:eastAsia="Times New Roman" w:hAnsi="Calibri" w:cs="Calibri"/>
        </w:rPr>
        <w:t>Hrvatske vode</w:t>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t xml:space="preserve"> </w:t>
      </w:r>
      <w:r>
        <w:rPr>
          <w:rFonts w:ascii="Calibri" w:eastAsia="Times New Roman" w:hAnsi="Calibri" w:cs="Calibri"/>
        </w:rPr>
        <w:tab/>
        <w:t>47.258.199 kn (33,33%)</w:t>
      </w:r>
    </w:p>
    <w:p w14:paraId="77546228" w14:textId="77777777" w:rsidR="000B6D3B" w:rsidRDefault="000B6D3B" w:rsidP="000B6D3B">
      <w:pPr>
        <w:numPr>
          <w:ilvl w:val="0"/>
          <w:numId w:val="4"/>
        </w:numPr>
        <w:spacing w:after="0" w:line="240" w:lineRule="auto"/>
        <w:contextualSpacing/>
        <w:jc w:val="both"/>
        <w:rPr>
          <w:rFonts w:ascii="Calibri" w:eastAsia="Times New Roman" w:hAnsi="Calibri" w:cs="Calibri"/>
        </w:rPr>
      </w:pPr>
      <w:r>
        <w:rPr>
          <w:rFonts w:ascii="Calibri" w:eastAsia="Times New Roman" w:hAnsi="Calibri" w:cs="Calibri"/>
        </w:rPr>
        <w:t>lokalna komponenta (otok Krk)</w:t>
      </w:r>
      <w:r>
        <w:rPr>
          <w:rFonts w:ascii="Calibri" w:eastAsia="Times New Roman" w:hAnsi="Calibri" w:cs="Calibri"/>
        </w:rPr>
        <w:tab/>
      </w:r>
      <w:r>
        <w:rPr>
          <w:rFonts w:ascii="Calibri" w:eastAsia="Times New Roman" w:hAnsi="Calibri" w:cs="Calibri"/>
        </w:rPr>
        <w:tab/>
        <w:t xml:space="preserve"> </w:t>
      </w:r>
      <w:r>
        <w:rPr>
          <w:rFonts w:ascii="Calibri" w:eastAsia="Times New Roman" w:hAnsi="Calibri" w:cs="Calibri"/>
        </w:rPr>
        <w:tab/>
        <w:t>47.258.199 kn (33,33%)</w:t>
      </w:r>
    </w:p>
    <w:p w14:paraId="7B468F84" w14:textId="77777777" w:rsidR="000B6D3B" w:rsidRDefault="000B6D3B" w:rsidP="000B6D3B">
      <w:pPr>
        <w:spacing w:after="0" w:line="240" w:lineRule="auto"/>
        <w:ind w:left="720"/>
        <w:contextualSpacing/>
        <w:jc w:val="both"/>
        <w:rPr>
          <w:rFonts w:ascii="Calibri" w:eastAsia="Times New Roman" w:hAnsi="Calibri" w:cs="Calibri"/>
          <w:sz w:val="10"/>
          <w:szCs w:val="10"/>
        </w:rPr>
      </w:pPr>
    </w:p>
    <w:p w14:paraId="5CFCA5E0" w14:textId="77777777" w:rsidR="000B6D3B" w:rsidRDefault="000B6D3B" w:rsidP="000B6D3B">
      <w:pPr>
        <w:numPr>
          <w:ilvl w:val="1"/>
          <w:numId w:val="4"/>
        </w:numPr>
        <w:spacing w:after="0" w:line="240" w:lineRule="auto"/>
        <w:contextualSpacing/>
        <w:jc w:val="both"/>
        <w:rPr>
          <w:rFonts w:ascii="Calibri" w:eastAsia="Times New Roman" w:hAnsi="Calibri" w:cs="Calibri"/>
        </w:rPr>
      </w:pPr>
      <w:r>
        <w:rPr>
          <w:rFonts w:ascii="Calibri" w:eastAsia="Times New Roman" w:hAnsi="Calibri" w:cs="Calibri"/>
        </w:rPr>
        <w:t>Ponikve voda d.o.o.</w:t>
      </w:r>
      <w:r>
        <w:rPr>
          <w:rFonts w:ascii="Calibri" w:eastAsia="Times New Roman" w:hAnsi="Calibri" w:cs="Calibri"/>
        </w:rPr>
        <w:tab/>
      </w:r>
      <w:r>
        <w:rPr>
          <w:rFonts w:ascii="Calibri" w:eastAsia="Times New Roman" w:hAnsi="Calibri" w:cs="Calibri"/>
        </w:rPr>
        <w:tab/>
        <w:t xml:space="preserve">         4.853.417 kn (3,42%)</w:t>
      </w:r>
    </w:p>
    <w:p w14:paraId="63746401" w14:textId="77777777" w:rsidR="000B6D3B" w:rsidRDefault="000B6D3B" w:rsidP="000B6D3B">
      <w:pPr>
        <w:numPr>
          <w:ilvl w:val="1"/>
          <w:numId w:val="4"/>
        </w:numPr>
        <w:spacing w:after="0" w:line="240" w:lineRule="auto"/>
        <w:contextualSpacing/>
        <w:jc w:val="both"/>
        <w:rPr>
          <w:rFonts w:ascii="Calibri" w:eastAsia="Times New Roman" w:hAnsi="Calibri" w:cs="Calibri"/>
        </w:rPr>
      </w:pPr>
      <w:r>
        <w:rPr>
          <w:rFonts w:ascii="Calibri" w:eastAsia="Times New Roman" w:hAnsi="Calibri" w:cs="Calibri"/>
        </w:rPr>
        <w:t>Grad Krk</w:t>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t xml:space="preserve">         9.634.367 kn (6,80%)</w:t>
      </w:r>
    </w:p>
    <w:p w14:paraId="032D6E35" w14:textId="77777777" w:rsidR="000B6D3B" w:rsidRDefault="000B6D3B" w:rsidP="000B6D3B">
      <w:pPr>
        <w:numPr>
          <w:ilvl w:val="1"/>
          <w:numId w:val="4"/>
        </w:numPr>
        <w:spacing w:after="0" w:line="240" w:lineRule="auto"/>
        <w:contextualSpacing/>
        <w:jc w:val="both"/>
        <w:rPr>
          <w:rFonts w:ascii="Calibri" w:eastAsia="Times New Roman" w:hAnsi="Calibri" w:cs="Calibri"/>
        </w:rPr>
      </w:pPr>
      <w:r>
        <w:rPr>
          <w:rFonts w:ascii="Calibri" w:eastAsia="Times New Roman" w:hAnsi="Calibri" w:cs="Calibri"/>
        </w:rPr>
        <w:t>Općina Baška</w:t>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t xml:space="preserve">         5.457.495 kn (3,85%)</w:t>
      </w:r>
    </w:p>
    <w:p w14:paraId="00E993B1" w14:textId="77777777" w:rsidR="000B6D3B" w:rsidRDefault="000B6D3B" w:rsidP="000B6D3B">
      <w:pPr>
        <w:numPr>
          <w:ilvl w:val="1"/>
          <w:numId w:val="4"/>
        </w:numPr>
        <w:spacing w:after="0" w:line="240" w:lineRule="auto"/>
        <w:contextualSpacing/>
        <w:jc w:val="both"/>
        <w:rPr>
          <w:rFonts w:ascii="Calibri" w:eastAsia="Times New Roman" w:hAnsi="Calibri" w:cs="Calibri"/>
        </w:rPr>
      </w:pPr>
      <w:r>
        <w:rPr>
          <w:rFonts w:ascii="Calibri" w:eastAsia="Times New Roman" w:hAnsi="Calibri" w:cs="Calibri"/>
        </w:rPr>
        <w:t>Općina Dobrinj</w:t>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t xml:space="preserve">         7.450.520 kn (5,25%)</w:t>
      </w:r>
    </w:p>
    <w:p w14:paraId="1BD395C4" w14:textId="77777777" w:rsidR="000B6D3B" w:rsidRDefault="000B6D3B" w:rsidP="000B6D3B">
      <w:pPr>
        <w:numPr>
          <w:ilvl w:val="1"/>
          <w:numId w:val="4"/>
        </w:numPr>
        <w:spacing w:after="0" w:line="240" w:lineRule="auto"/>
        <w:contextualSpacing/>
        <w:jc w:val="both"/>
        <w:rPr>
          <w:rFonts w:ascii="Calibri" w:eastAsia="Times New Roman" w:hAnsi="Calibri" w:cs="Calibri"/>
        </w:rPr>
      </w:pPr>
      <w:r>
        <w:rPr>
          <w:rFonts w:ascii="Calibri" w:eastAsia="Times New Roman" w:hAnsi="Calibri" w:cs="Calibri"/>
        </w:rPr>
        <w:t>Općina Malinska-Dubašnica</w:t>
      </w:r>
      <w:r>
        <w:rPr>
          <w:rFonts w:ascii="Calibri" w:eastAsia="Times New Roman" w:hAnsi="Calibri" w:cs="Calibri"/>
        </w:rPr>
        <w:tab/>
        <w:t xml:space="preserve">         8.103.554 kn (5,72%)</w:t>
      </w:r>
    </w:p>
    <w:p w14:paraId="1F254DFA" w14:textId="77777777" w:rsidR="000B6D3B" w:rsidRDefault="000B6D3B" w:rsidP="000B6D3B">
      <w:pPr>
        <w:numPr>
          <w:ilvl w:val="1"/>
          <w:numId w:val="4"/>
        </w:numPr>
        <w:spacing w:after="0" w:line="240" w:lineRule="auto"/>
        <w:contextualSpacing/>
        <w:jc w:val="both"/>
        <w:rPr>
          <w:rFonts w:ascii="Calibri" w:eastAsia="Times New Roman" w:hAnsi="Calibri" w:cs="Calibri"/>
        </w:rPr>
      </w:pPr>
      <w:r>
        <w:rPr>
          <w:rFonts w:ascii="Calibri" w:eastAsia="Times New Roman" w:hAnsi="Calibri" w:cs="Calibri"/>
        </w:rPr>
        <w:t>Općina Omišalj</w:t>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t xml:space="preserve">         7.552.292 kn (5,33%)</w:t>
      </w:r>
    </w:p>
    <w:p w14:paraId="752D24FB" w14:textId="77777777" w:rsidR="000B6D3B" w:rsidRDefault="000B6D3B" w:rsidP="000B6D3B">
      <w:pPr>
        <w:numPr>
          <w:ilvl w:val="1"/>
          <w:numId w:val="4"/>
        </w:numPr>
        <w:spacing w:after="0" w:line="240" w:lineRule="auto"/>
        <w:contextualSpacing/>
        <w:jc w:val="both"/>
        <w:rPr>
          <w:rFonts w:ascii="Calibri" w:eastAsia="Times New Roman" w:hAnsi="Calibri" w:cs="Calibri"/>
        </w:rPr>
      </w:pPr>
      <w:r>
        <w:rPr>
          <w:rFonts w:ascii="Calibri" w:eastAsia="Times New Roman" w:hAnsi="Calibri" w:cs="Calibri"/>
        </w:rPr>
        <w:t>Općina Punat</w:t>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t xml:space="preserve">         4.206.554 kn (2,97%)</w:t>
      </w:r>
    </w:p>
    <w:p w14:paraId="5FF0995F" w14:textId="77777777" w:rsidR="000B6D3B" w:rsidRDefault="000B6D3B" w:rsidP="000B6D3B">
      <w:pPr>
        <w:spacing w:line="240" w:lineRule="auto"/>
        <w:contextualSpacing/>
        <w:jc w:val="both"/>
        <w:rPr>
          <w:rFonts w:ascii="Calibri" w:eastAsia="Times New Roman" w:hAnsi="Calibri" w:cs="Calibri"/>
        </w:rPr>
      </w:pPr>
    </w:p>
    <w:p w14:paraId="2C38AE33" w14:textId="77777777" w:rsidR="000B6D3B" w:rsidRDefault="000B6D3B" w:rsidP="000B6D3B">
      <w:pPr>
        <w:spacing w:line="240" w:lineRule="auto"/>
        <w:contextualSpacing/>
        <w:jc w:val="both"/>
        <w:rPr>
          <w:rFonts w:ascii="Calibri" w:eastAsia="Times New Roman" w:hAnsi="Calibri" w:cs="Calibri"/>
        </w:rPr>
      </w:pPr>
      <w:r>
        <w:rPr>
          <w:rFonts w:ascii="Calibri" w:eastAsia="Times New Roman" w:hAnsi="Calibri" w:cs="Calibri"/>
        </w:rPr>
        <w:lastRenderedPageBreak/>
        <w:t xml:space="preserve">U kolovozu 2017. godine ugovoren je stručni </w:t>
      </w:r>
      <w:r>
        <w:rPr>
          <w:rFonts w:ascii="Calibri" w:eastAsia="Times New Roman" w:hAnsi="Calibri" w:cs="Calibri"/>
          <w:b/>
        </w:rPr>
        <w:t>nadzor</w:t>
      </w:r>
      <w:r>
        <w:rPr>
          <w:rFonts w:ascii="Calibri" w:eastAsia="Times New Roman" w:hAnsi="Calibri" w:cs="Calibri"/>
        </w:rPr>
        <w:t xml:space="preserve"> nad izgradnjom kanalizacijske mreže i rekonstrukcije vodovodne mreže (crvena knjiga) sa zajednicom ponuditelja WYG savjetovanje d.o.o. (vodeći član) i Institut IGH d.d. iz Zagreba. Vrijednost ugovora iznosi 6.388.000,00 kn. </w:t>
      </w:r>
    </w:p>
    <w:p w14:paraId="157FA875" w14:textId="77777777" w:rsidR="000B6D3B" w:rsidRDefault="000B6D3B" w:rsidP="000B6D3B">
      <w:pPr>
        <w:spacing w:line="240" w:lineRule="auto"/>
        <w:contextualSpacing/>
        <w:jc w:val="both"/>
        <w:rPr>
          <w:rFonts w:ascii="Calibri" w:eastAsia="Times New Roman" w:hAnsi="Calibri" w:cs="Calibri"/>
        </w:rPr>
      </w:pPr>
      <w:r>
        <w:rPr>
          <w:rFonts w:ascii="Calibri" w:eastAsia="Times New Roman" w:hAnsi="Calibri" w:cs="Calibri"/>
        </w:rPr>
        <w:t xml:space="preserve">Dodatkom broj 2 od 11. ožujka 2019. godine ugovoreno je da se uz obveze iz osnovnog ugovora izvršitelj obvezuje vršiti usluge nadzora nad radovima na izgradnji elektroničko komunikacijske mreže. Rok za pružanje usluge se produžuje do 23. travnja 2021.g. Povećava se ugovorna cijena za 755.700,40 kn, čime je ukupna cijena ugovora nadzora </w:t>
      </w:r>
      <w:r>
        <w:rPr>
          <w:rFonts w:ascii="Calibri" w:eastAsia="Times New Roman" w:hAnsi="Calibri" w:cs="Calibri"/>
          <w:b/>
        </w:rPr>
        <w:t>7.143.700,40</w:t>
      </w:r>
      <w:r>
        <w:rPr>
          <w:rFonts w:ascii="Calibri" w:eastAsia="Times New Roman" w:hAnsi="Calibri" w:cs="Calibri"/>
        </w:rPr>
        <w:t xml:space="preserve"> kn. Do kraja 2020. godine obračunato je 3.653.069,94 kn ugovorene usluge.</w:t>
      </w:r>
    </w:p>
    <w:p w14:paraId="5D6E4062" w14:textId="77777777" w:rsidR="000B6D3B" w:rsidRDefault="000B6D3B" w:rsidP="000B6D3B">
      <w:pPr>
        <w:spacing w:line="240" w:lineRule="auto"/>
        <w:contextualSpacing/>
        <w:jc w:val="both"/>
        <w:rPr>
          <w:rFonts w:ascii="Calibri" w:eastAsia="Times New Roman" w:hAnsi="Calibri" w:cs="Calibri"/>
        </w:rPr>
      </w:pPr>
    </w:p>
    <w:p w14:paraId="69A8CC10" w14:textId="77777777" w:rsidR="000B6D3B" w:rsidRDefault="000B6D3B" w:rsidP="000B6D3B">
      <w:pPr>
        <w:spacing w:line="240" w:lineRule="auto"/>
        <w:contextualSpacing/>
        <w:jc w:val="both"/>
        <w:rPr>
          <w:rFonts w:ascii="Calibri" w:eastAsia="Times New Roman" w:hAnsi="Calibri" w:cs="Calibri"/>
        </w:rPr>
      </w:pPr>
      <w:r>
        <w:rPr>
          <w:rFonts w:ascii="Calibri" w:eastAsia="Times New Roman" w:hAnsi="Calibri" w:cs="Calibri"/>
        </w:rPr>
        <w:t xml:space="preserve">U kolovozu 2017. godine ugovorena je </w:t>
      </w:r>
      <w:r>
        <w:rPr>
          <w:rFonts w:ascii="Calibri" w:eastAsia="Times New Roman" w:hAnsi="Calibri" w:cs="Calibri"/>
          <w:b/>
        </w:rPr>
        <w:t>usluga tehničke podrške upravljanja projektom</w:t>
      </w:r>
      <w:r>
        <w:rPr>
          <w:rFonts w:ascii="Calibri" w:eastAsia="Times New Roman" w:hAnsi="Calibri" w:cs="Calibri"/>
        </w:rPr>
        <w:t xml:space="preserve"> s Ernst &amp; Young Savjetovanje d.o.o. iz Zagreba. Vrijednost ugovora iznosi </w:t>
      </w:r>
      <w:r>
        <w:rPr>
          <w:rFonts w:ascii="Calibri" w:eastAsia="Times New Roman" w:hAnsi="Calibri" w:cs="Calibri"/>
          <w:b/>
        </w:rPr>
        <w:t>6.724.010,00 kn</w:t>
      </w:r>
      <w:r>
        <w:rPr>
          <w:rFonts w:ascii="Calibri" w:eastAsia="Times New Roman" w:hAnsi="Calibri" w:cs="Calibri"/>
        </w:rPr>
        <w:t>. Do kraja 2020. godine obračunato je 3.674.191,19 kn ugovorene usluge (Bilješka 5.2.).</w:t>
      </w:r>
    </w:p>
    <w:p w14:paraId="0BA96133" w14:textId="77777777" w:rsidR="000B6D3B" w:rsidRDefault="000B6D3B" w:rsidP="000B6D3B">
      <w:pPr>
        <w:spacing w:line="240" w:lineRule="auto"/>
        <w:contextualSpacing/>
        <w:jc w:val="both"/>
        <w:rPr>
          <w:rFonts w:ascii="Calibri" w:eastAsia="Times New Roman" w:hAnsi="Calibri" w:cs="Calibri"/>
        </w:rPr>
      </w:pPr>
    </w:p>
    <w:p w14:paraId="7C029DC4" w14:textId="77777777" w:rsidR="000B6D3B" w:rsidRDefault="000B6D3B" w:rsidP="000B6D3B">
      <w:pPr>
        <w:spacing w:line="240" w:lineRule="auto"/>
        <w:contextualSpacing/>
        <w:jc w:val="both"/>
        <w:rPr>
          <w:rFonts w:ascii="Calibri" w:eastAsia="Times New Roman" w:hAnsi="Calibri" w:cs="Calibri"/>
        </w:rPr>
      </w:pPr>
      <w:r>
        <w:rPr>
          <w:rFonts w:ascii="Calibri" w:eastAsia="Times New Roman" w:hAnsi="Calibri" w:cs="Calibri"/>
        </w:rPr>
        <w:t xml:space="preserve">U kolovozu 2017. godine ugovorena je </w:t>
      </w:r>
      <w:r>
        <w:rPr>
          <w:rFonts w:ascii="Calibri" w:eastAsia="Times New Roman" w:hAnsi="Calibri" w:cs="Calibri"/>
          <w:b/>
        </w:rPr>
        <w:t>usluga informiranja i vidljivosti</w:t>
      </w:r>
      <w:r>
        <w:rPr>
          <w:rFonts w:ascii="Calibri" w:eastAsia="Times New Roman" w:hAnsi="Calibri" w:cs="Calibri"/>
        </w:rPr>
        <w:t xml:space="preserve"> u provedbi EU projekta s društvom Studio redizajn d.o.o. iz Zagreba. Vrijednost ugovora iznosi </w:t>
      </w:r>
      <w:r>
        <w:rPr>
          <w:rFonts w:ascii="Calibri" w:eastAsia="Times New Roman" w:hAnsi="Calibri" w:cs="Calibri"/>
          <w:b/>
        </w:rPr>
        <w:t>285.925,50 kn</w:t>
      </w:r>
      <w:r>
        <w:rPr>
          <w:rFonts w:ascii="Calibri" w:eastAsia="Times New Roman" w:hAnsi="Calibri" w:cs="Calibri"/>
        </w:rPr>
        <w:t>. Do kraja 2020. godine obračunato je 127.431,50 kn ugovorene usluge.</w:t>
      </w:r>
    </w:p>
    <w:p w14:paraId="0B6B69E8" w14:textId="77777777" w:rsidR="000B6D3B" w:rsidRDefault="000B6D3B" w:rsidP="000B6D3B">
      <w:pPr>
        <w:spacing w:line="240" w:lineRule="auto"/>
        <w:contextualSpacing/>
        <w:jc w:val="both"/>
        <w:rPr>
          <w:rFonts w:ascii="Calibri" w:eastAsia="Times New Roman" w:hAnsi="Calibri" w:cs="Calibri"/>
        </w:rPr>
      </w:pPr>
    </w:p>
    <w:p w14:paraId="32CAACF1" w14:textId="77777777" w:rsidR="000B6D3B" w:rsidRDefault="000B6D3B" w:rsidP="000B6D3B">
      <w:pPr>
        <w:spacing w:line="240" w:lineRule="auto"/>
        <w:contextualSpacing/>
        <w:jc w:val="both"/>
        <w:rPr>
          <w:rFonts w:ascii="Calibri" w:eastAsia="Calibri" w:hAnsi="Calibri" w:cs="Calibri"/>
        </w:rPr>
      </w:pPr>
      <w:bookmarkStart w:id="1" w:name="_Hlk5007318"/>
      <w:r>
        <w:rPr>
          <w:rFonts w:ascii="Calibri" w:eastAsia="Times New Roman" w:hAnsi="Calibri" w:cs="Calibri"/>
        </w:rPr>
        <w:t xml:space="preserve">U rujnu 2017. godine ugovorena je </w:t>
      </w:r>
      <w:r>
        <w:rPr>
          <w:rFonts w:ascii="Calibri" w:eastAsia="Times New Roman" w:hAnsi="Calibri" w:cs="Calibri"/>
          <w:b/>
        </w:rPr>
        <w:t>izgradnja kanalizacijske mreže i rekonstrukcije vodovodne mreže</w:t>
      </w:r>
      <w:r>
        <w:rPr>
          <w:rFonts w:ascii="Calibri" w:eastAsia="Times New Roman" w:hAnsi="Calibri" w:cs="Calibri"/>
        </w:rPr>
        <w:t xml:space="preserve"> (crvena knjiga) sa zajednicom ponuditelja Gorenjska gradbena družba d.d. iz Kranja, Slovenija (vodeći član) i Kolektor CPG d.o.o. iz Nove Gorica, Slovenija. Vrijednost ugovora iznosi 253.828.191,71 kn.  </w:t>
      </w:r>
      <w:r>
        <w:rPr>
          <w:rFonts w:ascii="Calibri" w:eastAsia="Calibri" w:hAnsi="Calibri" w:cs="Calibri"/>
        </w:rPr>
        <w:t xml:space="preserve">U ožujku 2019. godine potpisan je Dodatak br. 1 Ugovoru kojim je vrijednost ugovora povećana za 13.127.144,37 kn koliko iznose radovi na izgradnji elektroničko komunikacijske mreže. U veljači 2020. godine potpisan je Dodatak 2. Ugovoru vrijednost ugovora smanjena je  za 972.238,53 kn, a Dodatkom 3.Ugovora  dodatno je smanjena vrijednost za 11.276.395,18 kn. Ukupna vrijednost ugovora sada iznosi </w:t>
      </w:r>
      <w:r>
        <w:rPr>
          <w:rFonts w:ascii="Calibri" w:eastAsia="Calibri" w:hAnsi="Calibri" w:cs="Calibri"/>
          <w:b/>
        </w:rPr>
        <w:t>254.706.702,37</w:t>
      </w:r>
      <w:r>
        <w:rPr>
          <w:rFonts w:ascii="Calibri" w:eastAsia="Calibri" w:hAnsi="Calibri" w:cs="Calibri"/>
        </w:rPr>
        <w:t xml:space="preserve"> </w:t>
      </w:r>
      <w:r>
        <w:rPr>
          <w:rFonts w:ascii="Calibri" w:eastAsia="Calibri" w:hAnsi="Calibri" w:cs="Calibri"/>
          <w:b/>
          <w:bCs/>
        </w:rPr>
        <w:t>kn</w:t>
      </w:r>
      <w:r>
        <w:rPr>
          <w:rFonts w:ascii="Calibri" w:eastAsia="Calibri" w:hAnsi="Calibri" w:cs="Calibri"/>
        </w:rPr>
        <w:t>. Rok izvođenja radova produžen je do 23. travnja 2021. godine.</w:t>
      </w:r>
    </w:p>
    <w:p w14:paraId="24597437" w14:textId="77777777" w:rsidR="000B6D3B" w:rsidRDefault="000B6D3B" w:rsidP="000B6D3B">
      <w:pPr>
        <w:spacing w:line="240" w:lineRule="auto"/>
        <w:contextualSpacing/>
        <w:jc w:val="both"/>
        <w:rPr>
          <w:rFonts w:ascii="Calibri" w:eastAsia="Times New Roman" w:hAnsi="Calibri" w:cs="Calibri"/>
        </w:rPr>
      </w:pPr>
      <w:r>
        <w:rPr>
          <w:rFonts w:ascii="Calibri" w:eastAsia="Times New Roman" w:hAnsi="Calibri" w:cs="Calibri"/>
        </w:rPr>
        <w:t>Do kraja 2020. godine situirani su radovi u iznosu od 216.010.994,43 kn.</w:t>
      </w:r>
    </w:p>
    <w:bookmarkEnd w:id="1"/>
    <w:p w14:paraId="16CC3395" w14:textId="77777777" w:rsidR="000B6D3B" w:rsidRDefault="000B6D3B" w:rsidP="000B6D3B">
      <w:pPr>
        <w:spacing w:after="0" w:line="240" w:lineRule="auto"/>
        <w:ind w:right="92"/>
        <w:contextualSpacing/>
        <w:jc w:val="both"/>
        <w:rPr>
          <w:rFonts w:ascii="Calibri" w:eastAsia="Times New Roman" w:hAnsi="Calibri" w:cs="Calibri"/>
          <w:b/>
          <w:bCs/>
          <w:iCs/>
        </w:rPr>
      </w:pPr>
    </w:p>
    <w:p w14:paraId="32E38730" w14:textId="77777777" w:rsidR="000B6D3B" w:rsidRDefault="000B6D3B" w:rsidP="000B6D3B">
      <w:pPr>
        <w:spacing w:line="240" w:lineRule="auto"/>
        <w:contextualSpacing/>
        <w:jc w:val="both"/>
        <w:rPr>
          <w:rFonts w:ascii="Calibri" w:eastAsia="Times New Roman" w:hAnsi="Calibri" w:cs="Calibri"/>
        </w:rPr>
      </w:pPr>
      <w:r>
        <w:rPr>
          <w:rFonts w:ascii="Calibri" w:eastAsia="Times New Roman" w:hAnsi="Calibri" w:cs="Calibri"/>
        </w:rPr>
        <w:t xml:space="preserve">U listopadu 2020. godine ugovorena je </w:t>
      </w:r>
      <w:r>
        <w:rPr>
          <w:rFonts w:ascii="Calibri" w:eastAsia="Times New Roman" w:hAnsi="Calibri" w:cs="Calibri"/>
          <w:b/>
          <w:bCs/>
        </w:rPr>
        <w:t>izgradnja i dogradnja uređaja za pročišćavanje i obradu otpadnog mulja</w:t>
      </w:r>
      <w:r>
        <w:rPr>
          <w:rFonts w:ascii="Calibri" w:eastAsia="Times New Roman" w:hAnsi="Calibri" w:cs="Calibri"/>
        </w:rPr>
        <w:t xml:space="preserve"> (žuta knjiga) sa zajednicom ponuditelja Neoplast industry d.o.o. iz Beograda, Srbija, Art-graditeljstvo d.o.o. iz Zagreba, Hrvatska i Odis filtering Ltd iz Petrach-Tikve, Izrael. Vrijednost ugovora iznosi </w:t>
      </w:r>
      <w:r>
        <w:rPr>
          <w:rFonts w:ascii="Calibri" w:eastAsia="Times New Roman" w:hAnsi="Calibri" w:cs="Calibri"/>
          <w:b/>
          <w:bCs/>
        </w:rPr>
        <w:t>183.645.002,00</w:t>
      </w:r>
      <w:r>
        <w:rPr>
          <w:rFonts w:ascii="Calibri" w:eastAsia="Times New Roman" w:hAnsi="Calibri" w:cs="Calibri"/>
        </w:rPr>
        <w:t xml:space="preserve"> </w:t>
      </w:r>
      <w:r>
        <w:rPr>
          <w:rFonts w:ascii="Calibri" w:eastAsia="Times New Roman" w:hAnsi="Calibri" w:cs="Calibri"/>
          <w:b/>
          <w:bCs/>
        </w:rPr>
        <w:t>kn</w:t>
      </w:r>
      <w:r>
        <w:rPr>
          <w:rFonts w:ascii="Calibri" w:eastAsia="Times New Roman" w:hAnsi="Calibri" w:cs="Calibri"/>
        </w:rPr>
        <w:t>. Izvođač je, sukladno ugovoru, u studenome 2020. godine uputio zahtjev za predujam u vrijednosti od  18.364.500,20 kn (10% ugovorene vrijednosti) koji je uplaćen u siječnju 2021. godine.</w:t>
      </w:r>
    </w:p>
    <w:p w14:paraId="5DC60EC8" w14:textId="77777777" w:rsidR="000B6D3B" w:rsidRDefault="000B6D3B" w:rsidP="000B6D3B">
      <w:pPr>
        <w:spacing w:line="240" w:lineRule="auto"/>
        <w:contextualSpacing/>
        <w:jc w:val="both"/>
        <w:rPr>
          <w:rFonts w:ascii="Calibri" w:eastAsia="Times New Roman" w:hAnsi="Calibri" w:cs="Calibri"/>
        </w:rPr>
      </w:pPr>
    </w:p>
    <w:p w14:paraId="12320067" w14:textId="77777777" w:rsidR="000B6D3B" w:rsidRDefault="000B6D3B" w:rsidP="000B6D3B">
      <w:pPr>
        <w:spacing w:line="240" w:lineRule="auto"/>
        <w:contextualSpacing/>
        <w:jc w:val="both"/>
        <w:rPr>
          <w:rFonts w:ascii="Calibri" w:eastAsia="Times New Roman" w:hAnsi="Calibri" w:cs="Calibri"/>
        </w:rPr>
      </w:pPr>
      <w:r>
        <w:rPr>
          <w:rFonts w:ascii="Calibri" w:eastAsia="Times New Roman" w:hAnsi="Calibri" w:cs="Calibri"/>
        </w:rPr>
        <w:t xml:space="preserve">U prosincu 2020. godine ugovorene su </w:t>
      </w:r>
      <w:r>
        <w:rPr>
          <w:rFonts w:ascii="Calibri" w:eastAsia="Times New Roman" w:hAnsi="Calibri" w:cs="Calibri"/>
          <w:b/>
          <w:bCs/>
        </w:rPr>
        <w:t>nabave opreme</w:t>
      </w:r>
      <w:r>
        <w:rPr>
          <w:rFonts w:ascii="Calibri" w:eastAsia="Times New Roman" w:hAnsi="Calibri" w:cs="Calibri"/>
        </w:rPr>
        <w:t>, a isporuka se očekuje tijekom 2021. godine:</w:t>
      </w:r>
    </w:p>
    <w:p w14:paraId="2346188E" w14:textId="77777777" w:rsidR="000B6D3B" w:rsidRDefault="000B6D3B" w:rsidP="000B6D3B">
      <w:pPr>
        <w:numPr>
          <w:ilvl w:val="0"/>
          <w:numId w:val="5"/>
        </w:numPr>
        <w:spacing w:after="0" w:line="240" w:lineRule="auto"/>
        <w:ind w:left="284" w:hanging="142"/>
        <w:contextualSpacing/>
        <w:jc w:val="both"/>
        <w:rPr>
          <w:rFonts w:ascii="Calibri" w:eastAsia="Times New Roman" w:hAnsi="Calibri" w:cs="Calibri"/>
        </w:rPr>
      </w:pPr>
      <w:r>
        <w:rPr>
          <w:rFonts w:ascii="Calibri" w:eastAsia="Times New Roman" w:hAnsi="Calibri" w:cs="Calibri"/>
        </w:rPr>
        <w:t xml:space="preserve">specijalna vozila (dva kombinirana vozila za čišćenje i uklanjanje nečistoća iz kanalizacijskih cijevi zapremnine 3,5m3 i 8m3 i dvije cisterne za crpljenje i odvoz otpadnih voda iz septičkih i sabirnih jama) u ukupnoj vrijednosti od </w:t>
      </w:r>
      <w:r>
        <w:rPr>
          <w:rFonts w:ascii="Calibri" w:eastAsia="Times New Roman" w:hAnsi="Calibri" w:cs="Calibri"/>
          <w:b/>
          <w:bCs/>
        </w:rPr>
        <w:t>6.764.000,00 kn</w:t>
      </w:r>
      <w:r>
        <w:rPr>
          <w:rFonts w:ascii="Calibri" w:eastAsia="Times New Roman" w:hAnsi="Calibri" w:cs="Calibri"/>
        </w:rPr>
        <w:t xml:space="preserve"> (isporučitelj: Agra trgovina d.o.o. iz Zagreba)</w:t>
      </w:r>
    </w:p>
    <w:p w14:paraId="5328CEB6" w14:textId="77777777" w:rsidR="000B6D3B" w:rsidRDefault="000B6D3B" w:rsidP="000B6D3B">
      <w:pPr>
        <w:numPr>
          <w:ilvl w:val="0"/>
          <w:numId w:val="5"/>
        </w:numPr>
        <w:spacing w:after="0" w:line="240" w:lineRule="auto"/>
        <w:ind w:left="284" w:hanging="142"/>
        <w:contextualSpacing/>
        <w:jc w:val="both"/>
        <w:rPr>
          <w:rFonts w:ascii="Calibri" w:eastAsia="Times New Roman" w:hAnsi="Calibri" w:cs="Calibri"/>
        </w:rPr>
      </w:pPr>
      <w:r>
        <w:rPr>
          <w:rFonts w:ascii="Calibri" w:eastAsia="Times New Roman" w:hAnsi="Calibri" w:cs="Calibri"/>
        </w:rPr>
        <w:t>CCTV kamera s vozilom i opremom za čišćenje kanalizacije u ukupnoj vrijednosti od 1.269.400,00 kn (isporučitelj: Agra trgovina d.o.o. iz Zagreba)</w:t>
      </w:r>
    </w:p>
    <w:p w14:paraId="5F8EEEC3" w14:textId="77777777" w:rsidR="000B6D3B" w:rsidRDefault="000B6D3B" w:rsidP="000B6D3B">
      <w:pPr>
        <w:numPr>
          <w:ilvl w:val="0"/>
          <w:numId w:val="5"/>
        </w:numPr>
        <w:spacing w:after="0" w:line="240" w:lineRule="auto"/>
        <w:ind w:left="284" w:hanging="142"/>
        <w:contextualSpacing/>
        <w:jc w:val="both"/>
        <w:rPr>
          <w:rFonts w:ascii="Calibri" w:eastAsia="Times New Roman" w:hAnsi="Calibri" w:cs="Calibri"/>
        </w:rPr>
      </w:pPr>
      <w:r>
        <w:rPr>
          <w:rFonts w:ascii="Calibri" w:eastAsia="Times New Roman" w:hAnsi="Calibri" w:cs="Calibri"/>
        </w:rPr>
        <w:t xml:space="preserve">kamion s prikolicom (specijalno komunalno vozilo za podizanje i prijevoz kontejnera 5-8m3 – teleskopski samopodizač) u vrijednosti od </w:t>
      </w:r>
      <w:r>
        <w:rPr>
          <w:rFonts w:ascii="Calibri" w:eastAsia="Times New Roman" w:hAnsi="Calibri" w:cs="Calibri"/>
          <w:b/>
          <w:bCs/>
        </w:rPr>
        <w:t>923.775,00 kn</w:t>
      </w:r>
      <w:r>
        <w:rPr>
          <w:rFonts w:ascii="Calibri" w:eastAsia="Times New Roman" w:hAnsi="Calibri" w:cs="Calibri"/>
        </w:rPr>
        <w:t xml:space="preserve"> (isporučitelj: Gradatin d.o.o. iz Sesveta)</w:t>
      </w:r>
    </w:p>
    <w:p w14:paraId="096A9618" w14:textId="77777777" w:rsidR="000B6D3B" w:rsidRDefault="000B6D3B" w:rsidP="000B6D3B">
      <w:pPr>
        <w:numPr>
          <w:ilvl w:val="0"/>
          <w:numId w:val="5"/>
        </w:numPr>
        <w:spacing w:after="0" w:line="240" w:lineRule="auto"/>
        <w:ind w:left="284" w:hanging="142"/>
        <w:contextualSpacing/>
        <w:jc w:val="both"/>
        <w:rPr>
          <w:rFonts w:ascii="Calibri" w:eastAsia="Times New Roman" w:hAnsi="Calibri" w:cs="Calibri"/>
        </w:rPr>
      </w:pPr>
      <w:r>
        <w:rPr>
          <w:rFonts w:ascii="Calibri" w:eastAsia="Times New Roman" w:hAnsi="Calibri" w:cs="Calibri"/>
        </w:rPr>
        <w:t xml:space="preserve">vodomjeri (2.106 kom) u ukupnoj vrijednosti od </w:t>
      </w:r>
      <w:r>
        <w:rPr>
          <w:rFonts w:ascii="Calibri" w:eastAsia="Times New Roman" w:hAnsi="Calibri" w:cs="Calibri"/>
          <w:b/>
          <w:bCs/>
        </w:rPr>
        <w:t>911.890,00 kn</w:t>
      </w:r>
      <w:r>
        <w:rPr>
          <w:rFonts w:ascii="Calibri" w:eastAsia="Times New Roman" w:hAnsi="Calibri" w:cs="Calibri"/>
        </w:rPr>
        <w:t xml:space="preserve"> (isporučitelj: IKOM d.o.o. iz Zagreba)</w:t>
      </w:r>
    </w:p>
    <w:p w14:paraId="590CD5BB" w14:textId="77777777" w:rsidR="000B6D3B" w:rsidRDefault="000B6D3B" w:rsidP="000B6D3B">
      <w:pPr>
        <w:numPr>
          <w:ilvl w:val="0"/>
          <w:numId w:val="5"/>
        </w:numPr>
        <w:spacing w:after="0" w:line="240" w:lineRule="auto"/>
        <w:ind w:left="284" w:hanging="142"/>
        <w:contextualSpacing/>
        <w:jc w:val="both"/>
        <w:rPr>
          <w:rFonts w:ascii="Calibri" w:eastAsia="Times New Roman" w:hAnsi="Calibri" w:cs="Calibri"/>
        </w:rPr>
      </w:pPr>
      <w:r>
        <w:rPr>
          <w:rFonts w:ascii="Calibri" w:eastAsia="Times New Roman" w:hAnsi="Calibri" w:cs="Calibri"/>
        </w:rPr>
        <w:t xml:space="preserve">individualne crpne stanice (450 kom malih crpki za lokalno spajanje kućanstva) u ukupnoj vrijednosti od </w:t>
      </w:r>
      <w:r>
        <w:rPr>
          <w:rFonts w:ascii="Calibri" w:eastAsia="Times New Roman" w:hAnsi="Calibri" w:cs="Calibri"/>
          <w:b/>
          <w:bCs/>
        </w:rPr>
        <w:t>4.189.000,00 kn</w:t>
      </w:r>
      <w:r>
        <w:rPr>
          <w:rFonts w:ascii="Calibri" w:eastAsia="Times New Roman" w:hAnsi="Calibri" w:cs="Calibri"/>
        </w:rPr>
        <w:t xml:space="preserve"> (isporučitelj: CNM&amp;Co. d.o.o. iz Jurdani)</w:t>
      </w:r>
    </w:p>
    <w:p w14:paraId="5C705DEB" w14:textId="77777777" w:rsidR="000B6D3B" w:rsidRDefault="000B6D3B" w:rsidP="000B6D3B">
      <w:pPr>
        <w:spacing w:line="240" w:lineRule="auto"/>
        <w:contextualSpacing/>
        <w:jc w:val="both"/>
        <w:rPr>
          <w:rFonts w:ascii="Calibri" w:eastAsia="Times New Roman" w:hAnsi="Calibri" w:cs="Calibri"/>
        </w:rPr>
      </w:pPr>
    </w:p>
    <w:p w14:paraId="5DCFEB4B" w14:textId="77777777" w:rsidR="000B6D3B" w:rsidRDefault="000B6D3B" w:rsidP="000B6D3B">
      <w:pPr>
        <w:spacing w:line="240" w:lineRule="auto"/>
        <w:contextualSpacing/>
        <w:jc w:val="both"/>
        <w:rPr>
          <w:rFonts w:ascii="Calibri" w:eastAsia="Times New Roman" w:hAnsi="Calibri" w:cs="Calibri"/>
        </w:rPr>
      </w:pPr>
      <w:r>
        <w:rPr>
          <w:rFonts w:ascii="Calibri" w:eastAsia="Times New Roman" w:hAnsi="Calibri" w:cs="Calibri"/>
        </w:rPr>
        <w:t>U prosincu 2020. godine raspisani su natječaji za nabavu kontejnera i geografskog informacijskog sustava (GIS), a ugovaranje nabave planira se do ljeta 2021. godine.</w:t>
      </w:r>
    </w:p>
    <w:p w14:paraId="0C827DCE" w14:textId="77777777" w:rsidR="000B6D3B" w:rsidRDefault="000B6D3B" w:rsidP="000B6D3B">
      <w:pPr>
        <w:spacing w:line="240" w:lineRule="auto"/>
        <w:contextualSpacing/>
        <w:jc w:val="both"/>
        <w:rPr>
          <w:rFonts w:ascii="Calibri" w:eastAsia="Times New Roman" w:hAnsi="Calibri" w:cs="Calibri"/>
        </w:rPr>
      </w:pPr>
    </w:p>
    <w:p w14:paraId="05210E59" w14:textId="77777777" w:rsidR="000B6D3B" w:rsidRDefault="000B6D3B" w:rsidP="000B6D3B">
      <w:pPr>
        <w:spacing w:line="240" w:lineRule="auto"/>
        <w:contextualSpacing/>
        <w:jc w:val="both"/>
        <w:rPr>
          <w:rFonts w:ascii="Calibri" w:eastAsia="Times New Roman" w:hAnsi="Calibri" w:cs="Calibri"/>
        </w:rPr>
      </w:pPr>
      <w:r>
        <w:rPr>
          <w:rFonts w:ascii="Calibri" w:eastAsia="Times New Roman" w:hAnsi="Calibri" w:cs="Calibri"/>
        </w:rPr>
        <w:t xml:space="preserve">Društvo je 24. travnja 2019. godine s Ponikve eko otokom Krkom d.o.o. sklopilo Ugovor o međusobnim odnosima u izgradnji elektroničke komunikacijske mreže (EKM) otoka Krka u istom infrastrukturnom kanalu fekalne kanalizacije EU projekta. Sukladno tom ugovoru izgrađena EKM mreža biti će vlasništvo </w:t>
      </w:r>
      <w:r>
        <w:rPr>
          <w:rFonts w:ascii="Calibri" w:eastAsia="Times New Roman" w:hAnsi="Calibri" w:cs="Calibri"/>
        </w:rPr>
        <w:lastRenderedPageBreak/>
        <w:t>društva Ponikve eko otok Krk koje radove i financira. Dodatkom br. 1 Ugovoru o međusobnim odnosima od 02. srpnja 2019. godine uključen je i stručni nadzor. Vrijednost investicije iznosi 13.882.844,77 kn (13.127.144,37 kn – vrijednost radova, 755.700,40 HRK – vrijednost nadzora).</w:t>
      </w:r>
    </w:p>
    <w:p w14:paraId="60301CE2" w14:textId="77777777" w:rsidR="000B6D3B" w:rsidRDefault="000B6D3B" w:rsidP="000B6D3B">
      <w:pPr>
        <w:spacing w:line="240" w:lineRule="auto"/>
        <w:contextualSpacing/>
        <w:jc w:val="both"/>
        <w:rPr>
          <w:rFonts w:ascii="Calibri" w:eastAsia="Times New Roman" w:hAnsi="Calibri" w:cs="Calibri"/>
        </w:rPr>
      </w:pPr>
      <w:r>
        <w:rPr>
          <w:rFonts w:ascii="Calibri" w:eastAsia="Times New Roman" w:hAnsi="Calibri" w:cs="Calibri"/>
        </w:rPr>
        <w:t>Do kraja 2020. godine situirano je 7.031.894,13 kn što je iskazano u troškovima i prihodima Društva.</w:t>
      </w:r>
    </w:p>
    <w:p w14:paraId="30D0FEEB" w14:textId="77777777" w:rsidR="000B6D3B" w:rsidRDefault="000B6D3B" w:rsidP="000B6D3B">
      <w:pPr>
        <w:spacing w:after="0" w:line="240" w:lineRule="auto"/>
        <w:jc w:val="both"/>
        <w:rPr>
          <w:rFonts w:ascii="Calibri" w:eastAsia="Times New Roman" w:hAnsi="Calibri" w:cs="Calibri"/>
        </w:rPr>
      </w:pPr>
    </w:p>
    <w:p w14:paraId="5CD037AA" w14:textId="77777777" w:rsidR="000B6D3B" w:rsidRDefault="000B6D3B" w:rsidP="000B6D3B">
      <w:pPr>
        <w:spacing w:after="0" w:line="240" w:lineRule="auto"/>
        <w:jc w:val="both"/>
        <w:rPr>
          <w:rFonts w:ascii="Calibri" w:eastAsia="Times New Roman" w:hAnsi="Calibri" w:cs="Calibri"/>
        </w:rPr>
      </w:pPr>
      <w:r>
        <w:rPr>
          <w:rFonts w:ascii="Calibri" w:eastAsia="Times New Roman" w:hAnsi="Calibri" w:cs="Calibri"/>
        </w:rPr>
        <w:t>Društvo je primilo sljedeće obavijesti o donesenim odlukama o utvrđenim nepravilnostima prema kojima se primjenjuju financijske korekcije:</w:t>
      </w:r>
    </w:p>
    <w:p w14:paraId="3AF45ABC" w14:textId="77777777" w:rsidR="000B6D3B" w:rsidRDefault="000B6D3B" w:rsidP="000B6D3B">
      <w:pPr>
        <w:spacing w:after="0" w:line="240" w:lineRule="auto"/>
        <w:jc w:val="both"/>
        <w:rPr>
          <w:rFonts w:ascii="Calibri" w:eastAsia="Times New Roman" w:hAnsi="Calibri" w:cs="Calibri"/>
        </w:rPr>
      </w:pPr>
    </w:p>
    <w:p w14:paraId="4B49C04D" w14:textId="77777777" w:rsidR="000B6D3B" w:rsidRDefault="000B6D3B" w:rsidP="000B6D3B">
      <w:pPr>
        <w:spacing w:after="0" w:line="240" w:lineRule="auto"/>
        <w:jc w:val="both"/>
        <w:rPr>
          <w:rFonts w:ascii="Calibri" w:eastAsia="Times New Roman" w:hAnsi="Calibri" w:cs="Calibri"/>
        </w:rPr>
      </w:pPr>
      <w:r>
        <w:rPr>
          <w:rFonts w:ascii="Calibri" w:eastAsia="Times New Roman" w:hAnsi="Calibri" w:cs="Calibri"/>
        </w:rPr>
        <w:t>1)</w:t>
      </w:r>
      <w:r>
        <w:rPr>
          <w:rFonts w:ascii="Calibri" w:eastAsia="Times New Roman" w:hAnsi="Calibri" w:cs="Calibri"/>
        </w:rPr>
        <w:tab/>
        <w:t>23. svibnja 2018. godine za linijske građevine - financijska korekcija 10%</w:t>
      </w:r>
    </w:p>
    <w:p w14:paraId="67633A4A" w14:textId="77777777" w:rsidR="000B6D3B" w:rsidRDefault="000B6D3B" w:rsidP="000B6D3B">
      <w:pPr>
        <w:spacing w:after="0" w:line="240" w:lineRule="auto"/>
        <w:jc w:val="both"/>
        <w:rPr>
          <w:rFonts w:ascii="Calibri" w:eastAsia="Times New Roman" w:hAnsi="Calibri" w:cs="Calibri"/>
        </w:rPr>
      </w:pPr>
      <w:r>
        <w:rPr>
          <w:rFonts w:ascii="Calibri" w:eastAsia="Times New Roman" w:hAnsi="Calibri" w:cs="Calibri"/>
        </w:rPr>
        <w:t>2)</w:t>
      </w:r>
      <w:r>
        <w:rPr>
          <w:rFonts w:ascii="Calibri" w:eastAsia="Times New Roman" w:hAnsi="Calibri" w:cs="Calibri"/>
        </w:rPr>
        <w:tab/>
        <w:t>28. studenog 2018. godine za nadzor - financijska korekcija 5%</w:t>
      </w:r>
    </w:p>
    <w:p w14:paraId="64C00D6F" w14:textId="77777777" w:rsidR="000B6D3B" w:rsidRDefault="000B6D3B" w:rsidP="000B6D3B">
      <w:pPr>
        <w:spacing w:after="0" w:line="240" w:lineRule="auto"/>
        <w:jc w:val="both"/>
        <w:rPr>
          <w:rFonts w:ascii="Calibri" w:eastAsia="Times New Roman" w:hAnsi="Calibri" w:cs="Calibri"/>
        </w:rPr>
      </w:pPr>
      <w:r>
        <w:rPr>
          <w:rFonts w:ascii="Calibri" w:eastAsia="Times New Roman" w:hAnsi="Calibri" w:cs="Calibri"/>
        </w:rPr>
        <w:t>3)</w:t>
      </w:r>
      <w:r>
        <w:rPr>
          <w:rFonts w:ascii="Calibri" w:eastAsia="Times New Roman" w:hAnsi="Calibri" w:cs="Calibri"/>
        </w:rPr>
        <w:tab/>
        <w:t xml:space="preserve">08. veljače 2019. godine izmijenjena je odluka od 23. svibnja 2018. godine za linijske građevine - financijska korekcija s 10% povećana je na 25%. Ponikve voda je 19. veljače 2019. godine uputila prigovor Ministarstvu regionalnog razvoja i fondova EU. 04. veljače 2021. godine Hrvatske vode donijele su izmjenu odluke o utvrđenoj nepravilnosti te je financijska korekcija vraćena na 10% prihvatljive vrijednosti izvedenih radova za linijske građevine. </w:t>
      </w:r>
    </w:p>
    <w:p w14:paraId="36D05263" w14:textId="77777777" w:rsidR="000B6D3B" w:rsidRDefault="000B6D3B" w:rsidP="000B6D3B">
      <w:pPr>
        <w:spacing w:after="0" w:line="240" w:lineRule="auto"/>
        <w:jc w:val="both"/>
        <w:rPr>
          <w:rFonts w:ascii="Calibri" w:eastAsia="Times New Roman" w:hAnsi="Calibri" w:cs="Calibri"/>
        </w:rPr>
      </w:pPr>
    </w:p>
    <w:p w14:paraId="70F56B7D" w14:textId="77777777" w:rsidR="000B6D3B" w:rsidRDefault="000B6D3B" w:rsidP="000B6D3B">
      <w:pPr>
        <w:spacing w:after="0" w:line="240" w:lineRule="auto"/>
        <w:jc w:val="both"/>
        <w:rPr>
          <w:rFonts w:ascii="Calibri" w:eastAsia="Times New Roman" w:hAnsi="Calibri" w:cs="Calibri"/>
        </w:rPr>
      </w:pPr>
      <w:r>
        <w:rPr>
          <w:rFonts w:ascii="Calibri" w:eastAsia="Times New Roman" w:hAnsi="Calibri" w:cs="Calibri"/>
        </w:rPr>
        <w:t>Financijske korekcije su neprihvatljivi trošak EU projekta te se financiraju djelom iz postojećeg dugoročnog kredita HBOR-a od 45 mil kn (kojeg vraćaju JLS partneri projekta 100%) te iz dva dugoročna kredita PBZ-a od 18 mil kn i 37 mil kn koji će se vraćati iz naknade za razvoj (88,8005 %) i Društvo (11,1995%).</w:t>
      </w:r>
    </w:p>
    <w:p w14:paraId="12299E36" w14:textId="77777777" w:rsidR="000B6D3B" w:rsidRDefault="000B6D3B" w:rsidP="000B6D3B">
      <w:pPr>
        <w:numPr>
          <w:ilvl w:val="12"/>
          <w:numId w:val="0"/>
        </w:numPr>
        <w:spacing w:after="0" w:line="240" w:lineRule="auto"/>
        <w:jc w:val="both"/>
        <w:rPr>
          <w:rFonts w:ascii="Calibri" w:eastAsia="Calibri" w:hAnsi="Calibri" w:cs="Calibri"/>
          <w:iCs/>
        </w:rPr>
      </w:pPr>
    </w:p>
    <w:p w14:paraId="61A74493" w14:textId="77777777" w:rsidR="000B6D3B" w:rsidRDefault="000B6D3B" w:rsidP="000B6D3B">
      <w:pPr>
        <w:numPr>
          <w:ilvl w:val="12"/>
          <w:numId w:val="0"/>
        </w:numPr>
        <w:spacing w:after="0" w:line="240" w:lineRule="auto"/>
        <w:jc w:val="both"/>
        <w:rPr>
          <w:rFonts w:ascii="Calibri" w:eastAsia="Calibri" w:hAnsi="Calibri" w:cs="Calibri"/>
          <w:iCs/>
        </w:rPr>
      </w:pPr>
    </w:p>
    <w:p w14:paraId="68FE95C4" w14:textId="77777777" w:rsidR="000B6D3B" w:rsidRDefault="000B6D3B" w:rsidP="000B6D3B">
      <w:pPr>
        <w:numPr>
          <w:ilvl w:val="1"/>
          <w:numId w:val="3"/>
        </w:numPr>
        <w:spacing w:after="0" w:line="240" w:lineRule="auto"/>
        <w:contextualSpacing/>
        <w:jc w:val="both"/>
        <w:rPr>
          <w:rFonts w:ascii="Calibri" w:eastAsia="Times New Roman" w:hAnsi="Calibri" w:cs="Calibri"/>
          <w:b/>
          <w:iCs/>
        </w:rPr>
      </w:pPr>
      <w:r>
        <w:rPr>
          <w:rFonts w:ascii="Calibri" w:eastAsia="Times New Roman" w:hAnsi="Calibri" w:cs="Calibri"/>
          <w:b/>
          <w:iCs/>
        </w:rPr>
        <w:t xml:space="preserve"> projektne dokumentacije “Vodoopskrbni sustav Krka-podsustav Ponikve II faza</w:t>
      </w:r>
    </w:p>
    <w:p w14:paraId="09C45C4B" w14:textId="77777777" w:rsidR="000B6D3B" w:rsidRDefault="000B6D3B" w:rsidP="000B6D3B">
      <w:pPr>
        <w:spacing w:after="0" w:line="240" w:lineRule="auto"/>
        <w:ind w:left="360"/>
        <w:contextualSpacing/>
        <w:jc w:val="both"/>
        <w:rPr>
          <w:rFonts w:ascii="Times New Roman" w:eastAsia="Times New Roman" w:hAnsi="Times New Roman" w:cs="Calibri"/>
          <w:iCs/>
          <w:sz w:val="24"/>
          <w:szCs w:val="24"/>
        </w:rPr>
      </w:pPr>
    </w:p>
    <w:p w14:paraId="4D1565CA" w14:textId="77777777" w:rsidR="000B6D3B" w:rsidRDefault="000B6D3B" w:rsidP="000B6D3B">
      <w:pPr>
        <w:numPr>
          <w:ilvl w:val="12"/>
          <w:numId w:val="0"/>
        </w:numPr>
        <w:spacing w:after="0" w:line="240" w:lineRule="auto"/>
        <w:ind w:firstLine="708"/>
        <w:jc w:val="both"/>
        <w:rPr>
          <w:rFonts w:ascii="Calibri" w:eastAsia="Calibri" w:hAnsi="Calibri" w:cs="Calibri"/>
          <w:iCs/>
        </w:rPr>
      </w:pPr>
      <w:bookmarkStart w:id="2" w:name="_Hlk39491307"/>
      <w:r>
        <w:rPr>
          <w:rFonts w:ascii="Calibri" w:eastAsia="Calibri" w:hAnsi="Calibri" w:cs="Calibri"/>
          <w:iCs/>
        </w:rPr>
        <w:t xml:space="preserve">Kroz izvještajno razdoblje nastavljeni su radovi na </w:t>
      </w:r>
      <w:r>
        <w:rPr>
          <w:rFonts w:ascii="Calibri" w:eastAsia="Calibri" w:hAnsi="Calibri" w:cs="Calibri"/>
          <w:bCs/>
          <w:iCs/>
        </w:rPr>
        <w:t>izradi projektne dokumentacije “Vodoopskrbni sustav Krka-podsustav Ponikve II faza; izrada gl</w:t>
      </w:r>
      <w:r>
        <w:rPr>
          <w:rFonts w:ascii="Calibri" w:eastAsia="Calibri" w:hAnsi="Calibri" w:cs="Calibri"/>
          <w:iCs/>
        </w:rPr>
        <w:t>avnog projekta s provođenjem istraživačkih radova za faze 2, 3 i 4”. Podsustav Ponikve II faza podrazumijeva nadvišenje postojeće brane čime će se volumen akumulacije povećati na 7.000.000 m3. Na taj će se način osigurati znatno veće količine vode i bitnije će se utjecati na kvalitetu vode.</w:t>
      </w:r>
      <w:r>
        <w:rPr>
          <w:rFonts w:ascii="Calibri" w:eastAsia="Calibri" w:hAnsi="Calibri" w:cs="Calibri"/>
        </w:rPr>
        <w:t xml:space="preserve"> </w:t>
      </w:r>
      <w:r>
        <w:rPr>
          <w:rFonts w:ascii="Calibri" w:eastAsia="Calibri" w:hAnsi="Calibri" w:cs="Calibri"/>
          <w:iCs/>
        </w:rPr>
        <w:t>Uslugu izrade projekta s istraživačkim radovima ukupne vrijednosti od 4.931.650,00 kn vrši Hidroinženjering d.o.o. iz Zagreba. Do kraja 2020. godine situirano je 4.681.750,00 kn. Hrvatske vode su sudjelovale u sufinanciranju s 80%, a ostatak je osigurala Ponikve voda iz vlastitih sredstava.</w:t>
      </w:r>
    </w:p>
    <w:bookmarkEnd w:id="2"/>
    <w:p w14:paraId="48EEC73B" w14:textId="77777777" w:rsidR="000B6D3B" w:rsidRDefault="000B6D3B" w:rsidP="000B6D3B">
      <w:pPr>
        <w:numPr>
          <w:ilvl w:val="12"/>
          <w:numId w:val="0"/>
        </w:numPr>
        <w:spacing w:after="0" w:line="240" w:lineRule="auto"/>
        <w:jc w:val="both"/>
        <w:rPr>
          <w:rFonts w:ascii="Calibri" w:eastAsia="Calibri" w:hAnsi="Calibri" w:cs="Calibri"/>
          <w:iCs/>
        </w:rPr>
      </w:pPr>
    </w:p>
    <w:p w14:paraId="0B5DFBE7" w14:textId="77777777" w:rsidR="000B6D3B" w:rsidRDefault="000B6D3B" w:rsidP="000B6D3B">
      <w:pPr>
        <w:numPr>
          <w:ilvl w:val="12"/>
          <w:numId w:val="0"/>
        </w:numPr>
        <w:spacing w:after="0" w:line="240" w:lineRule="auto"/>
        <w:jc w:val="both"/>
        <w:rPr>
          <w:rFonts w:ascii="Calibri" w:eastAsia="Calibri" w:hAnsi="Calibri" w:cs="Calibri"/>
          <w:iCs/>
        </w:rPr>
      </w:pPr>
    </w:p>
    <w:p w14:paraId="2F957BC0" w14:textId="77777777" w:rsidR="000B6D3B" w:rsidRDefault="000B6D3B" w:rsidP="000B6D3B">
      <w:pPr>
        <w:numPr>
          <w:ilvl w:val="1"/>
          <w:numId w:val="3"/>
        </w:numPr>
        <w:spacing w:after="0" w:line="240" w:lineRule="auto"/>
        <w:contextualSpacing/>
        <w:rPr>
          <w:rFonts w:ascii="Calibri" w:eastAsia="Times New Roman" w:hAnsi="Calibri" w:cs="Calibri"/>
          <w:b/>
          <w:bCs/>
          <w:iCs/>
        </w:rPr>
      </w:pPr>
      <w:r>
        <w:rPr>
          <w:rFonts w:ascii="Calibri" w:eastAsia="Times New Roman" w:hAnsi="Calibri" w:cs="Calibri"/>
          <w:b/>
          <w:bCs/>
          <w:iCs/>
        </w:rPr>
        <w:t xml:space="preserve"> izgradnja i rekonstrukcija vodovodne mreže i mreže otpadnih voda</w:t>
      </w:r>
    </w:p>
    <w:p w14:paraId="14B93C62" w14:textId="77777777" w:rsidR="000B6D3B" w:rsidRDefault="000B6D3B" w:rsidP="000B6D3B">
      <w:pPr>
        <w:spacing w:after="0" w:line="240" w:lineRule="auto"/>
        <w:jc w:val="both"/>
        <w:rPr>
          <w:rFonts w:ascii="Calibri" w:eastAsia="Calibri" w:hAnsi="Calibri" w:cs="Calibri"/>
          <w:iCs/>
        </w:rPr>
      </w:pPr>
    </w:p>
    <w:p w14:paraId="214E47F5" w14:textId="77777777" w:rsidR="000B6D3B" w:rsidRDefault="000B6D3B" w:rsidP="000B6D3B">
      <w:pPr>
        <w:spacing w:after="0" w:line="240" w:lineRule="auto"/>
        <w:jc w:val="both"/>
        <w:rPr>
          <w:rFonts w:ascii="Calibri" w:eastAsia="Calibri" w:hAnsi="Calibri" w:cs="Calibri"/>
          <w:iCs/>
        </w:rPr>
      </w:pPr>
      <w:r>
        <w:rPr>
          <w:rFonts w:ascii="Calibri" w:eastAsia="Calibri" w:hAnsi="Calibri" w:cs="Calibri"/>
          <w:iCs/>
        </w:rPr>
        <w:t>U 2020. godini nastavilo se s radovima na rekonstrukciji i izgradnji vodovodne mreže i mreže otpadnih fekalnih voda na otoku Krku.  Ugovori o izvođenju radova i obavljanju stručnog nadzora sklopljeni su s više izvođača.</w:t>
      </w:r>
    </w:p>
    <w:p w14:paraId="532B3900" w14:textId="77777777" w:rsidR="000B6D3B" w:rsidRDefault="000B6D3B" w:rsidP="000B6D3B">
      <w:pPr>
        <w:spacing w:after="0" w:line="240" w:lineRule="auto"/>
        <w:jc w:val="both"/>
        <w:rPr>
          <w:rFonts w:ascii="Calibri" w:eastAsia="Calibri" w:hAnsi="Calibri" w:cs="Calibri"/>
          <w:iCs/>
        </w:rPr>
      </w:pPr>
      <w:r>
        <w:rPr>
          <w:rFonts w:ascii="Calibri" w:eastAsia="Calibri" w:hAnsi="Calibri" w:cs="Calibri"/>
          <w:iCs/>
        </w:rPr>
        <w:t>Sredstva su osigurana iz naknade za razvoj, sredstava Hrvatskih voda (naknade za korištenje i zaštitu voda), sredstva proračuna jedinica lokalne samouprave i iz vlastitih sredstava.</w:t>
      </w:r>
    </w:p>
    <w:p w14:paraId="3C369B47" w14:textId="77777777" w:rsidR="000B6D3B" w:rsidRDefault="000B6D3B" w:rsidP="000B6D3B">
      <w:pPr>
        <w:spacing w:after="0" w:line="240" w:lineRule="auto"/>
        <w:jc w:val="both"/>
        <w:rPr>
          <w:rFonts w:ascii="Calibri" w:eastAsia="Calibri" w:hAnsi="Calibri" w:cs="Calibri"/>
          <w:iCs/>
        </w:rPr>
      </w:pPr>
    </w:p>
    <w:p w14:paraId="15EFCA50" w14:textId="77777777" w:rsidR="000B6D3B" w:rsidRDefault="000B6D3B" w:rsidP="000B6D3B">
      <w:pPr>
        <w:spacing w:after="0" w:line="240" w:lineRule="auto"/>
        <w:jc w:val="both"/>
        <w:rPr>
          <w:rFonts w:ascii="Calibri" w:eastAsia="Calibri" w:hAnsi="Calibri" w:cs="Calibri"/>
          <w:iCs/>
        </w:rPr>
      </w:pPr>
    </w:p>
    <w:p w14:paraId="2B311889" w14:textId="77777777" w:rsidR="000B6D3B" w:rsidRDefault="000B6D3B" w:rsidP="000B6D3B">
      <w:pPr>
        <w:numPr>
          <w:ilvl w:val="0"/>
          <w:numId w:val="6"/>
        </w:numPr>
        <w:spacing w:after="0" w:line="240" w:lineRule="auto"/>
        <w:ind w:right="22"/>
        <w:contextualSpacing/>
        <w:jc w:val="both"/>
        <w:rPr>
          <w:rFonts w:ascii="Calibri" w:eastAsia="Times New Roman" w:hAnsi="Calibri" w:cs="Calibri"/>
          <w:b/>
          <w:sz w:val="24"/>
          <w:szCs w:val="24"/>
        </w:rPr>
      </w:pPr>
      <w:r>
        <w:rPr>
          <w:rFonts w:ascii="Calibri" w:eastAsia="Times New Roman" w:hAnsi="Calibri" w:cs="Calibri"/>
          <w:b/>
          <w:sz w:val="24"/>
          <w:szCs w:val="24"/>
        </w:rPr>
        <w:t>UPRAVLJANJE RIZICIMA</w:t>
      </w:r>
    </w:p>
    <w:p w14:paraId="1586FF76" w14:textId="77777777" w:rsidR="000B6D3B" w:rsidRDefault="000B6D3B" w:rsidP="000B6D3B">
      <w:pPr>
        <w:spacing w:after="0" w:line="240" w:lineRule="auto"/>
        <w:ind w:right="-367"/>
        <w:jc w:val="both"/>
        <w:rPr>
          <w:rFonts w:ascii="Calibri" w:eastAsia="Calibri" w:hAnsi="Calibri" w:cs="Calibri"/>
          <w:bCs/>
        </w:rPr>
      </w:pPr>
    </w:p>
    <w:p w14:paraId="7703147A" w14:textId="77777777" w:rsidR="000B6D3B" w:rsidRDefault="000B6D3B" w:rsidP="000B6D3B">
      <w:pPr>
        <w:spacing w:after="0" w:line="240" w:lineRule="auto"/>
        <w:ind w:right="-367"/>
        <w:jc w:val="both"/>
        <w:rPr>
          <w:rFonts w:ascii="Calibri" w:eastAsia="Times New Roman" w:hAnsi="Calibri" w:cs="Calibri"/>
          <w:b/>
          <w:bCs/>
          <w:iCs/>
        </w:rPr>
      </w:pPr>
      <w:r>
        <w:rPr>
          <w:rFonts w:ascii="Calibri" w:eastAsia="Times New Roman" w:hAnsi="Calibri" w:cs="Calibri"/>
          <w:b/>
          <w:bCs/>
          <w:iCs/>
        </w:rPr>
        <w:t>VALUTNI RIZIK</w:t>
      </w:r>
    </w:p>
    <w:p w14:paraId="4C357884" w14:textId="77777777" w:rsidR="000B6D3B" w:rsidRDefault="000B6D3B" w:rsidP="000B6D3B">
      <w:pPr>
        <w:spacing w:after="0" w:line="240" w:lineRule="auto"/>
        <w:ind w:right="-367"/>
        <w:jc w:val="both"/>
        <w:rPr>
          <w:rFonts w:ascii="Calibri" w:eastAsia="Times New Roman" w:hAnsi="Calibri" w:cs="Calibri"/>
          <w:b/>
          <w:bCs/>
          <w:iCs/>
          <w:sz w:val="10"/>
          <w:szCs w:val="10"/>
        </w:rPr>
      </w:pPr>
    </w:p>
    <w:p w14:paraId="3A5D44E2" w14:textId="77777777" w:rsidR="000B6D3B" w:rsidRDefault="000B6D3B" w:rsidP="000B6D3B">
      <w:pPr>
        <w:spacing w:after="0" w:line="240" w:lineRule="auto"/>
        <w:ind w:right="22"/>
        <w:jc w:val="both"/>
        <w:rPr>
          <w:rFonts w:ascii="Calibri" w:eastAsia="Times New Roman" w:hAnsi="Calibri" w:cs="Calibri"/>
          <w:iCs/>
        </w:rPr>
      </w:pPr>
      <w:r>
        <w:rPr>
          <w:rFonts w:ascii="Calibri" w:eastAsia="Times New Roman" w:hAnsi="Calibri" w:cs="Calibri"/>
          <w:iCs/>
        </w:rPr>
        <w:t>Valutni rizik je rizik da će se vrijednosti financijskih instrumenata promijeniti uslijed promjene tečaja. Društvo je izloženo promjenama vrijednosti EUR-a, jer je dio obveza po dugoročnim kreditima denominirano u stranoj valuti, što Društvo izlaže valutnom riziku. Upravljanje ovim rizikom svodi se na usklađivanje priljeva od naplate potraživanja od kupaca.</w:t>
      </w:r>
    </w:p>
    <w:p w14:paraId="27285F48" w14:textId="77777777" w:rsidR="000B6D3B" w:rsidRDefault="000B6D3B" w:rsidP="000B6D3B">
      <w:pPr>
        <w:spacing w:after="0" w:line="240" w:lineRule="auto"/>
        <w:ind w:right="22"/>
        <w:jc w:val="both"/>
        <w:rPr>
          <w:rFonts w:ascii="Calibri" w:eastAsia="Times New Roman" w:hAnsi="Calibri" w:cs="Calibri"/>
          <w:iCs/>
        </w:rPr>
      </w:pPr>
    </w:p>
    <w:p w14:paraId="52DC0414" w14:textId="77777777" w:rsidR="000B6D3B" w:rsidRDefault="000B6D3B" w:rsidP="000B6D3B">
      <w:pPr>
        <w:spacing w:after="0" w:line="240" w:lineRule="auto"/>
        <w:ind w:right="22"/>
        <w:jc w:val="both"/>
        <w:rPr>
          <w:rFonts w:ascii="Calibri" w:eastAsia="Times New Roman" w:hAnsi="Calibri" w:cs="Calibri"/>
          <w:b/>
          <w:bCs/>
          <w:iCs/>
        </w:rPr>
      </w:pPr>
      <w:r>
        <w:rPr>
          <w:rFonts w:ascii="Calibri" w:eastAsia="Times New Roman" w:hAnsi="Calibri" w:cs="Calibri"/>
          <w:b/>
          <w:bCs/>
          <w:iCs/>
        </w:rPr>
        <w:lastRenderedPageBreak/>
        <w:t>KAMATNI RIZIK</w:t>
      </w:r>
    </w:p>
    <w:p w14:paraId="5D955293" w14:textId="77777777" w:rsidR="000B6D3B" w:rsidRDefault="000B6D3B" w:rsidP="000B6D3B">
      <w:pPr>
        <w:spacing w:after="0" w:line="240" w:lineRule="auto"/>
        <w:ind w:right="22"/>
        <w:jc w:val="both"/>
        <w:rPr>
          <w:rFonts w:ascii="Calibri" w:eastAsia="Times New Roman" w:hAnsi="Calibri" w:cs="Calibri"/>
          <w:b/>
          <w:bCs/>
          <w:iCs/>
          <w:sz w:val="10"/>
          <w:szCs w:val="10"/>
        </w:rPr>
      </w:pPr>
    </w:p>
    <w:p w14:paraId="448DAD0A" w14:textId="77777777" w:rsidR="000B6D3B" w:rsidRDefault="000B6D3B" w:rsidP="000B6D3B">
      <w:pPr>
        <w:spacing w:after="0" w:line="240" w:lineRule="auto"/>
        <w:ind w:right="22"/>
        <w:jc w:val="both"/>
        <w:rPr>
          <w:rFonts w:ascii="Calibri" w:eastAsia="Times New Roman" w:hAnsi="Calibri" w:cs="Calibri"/>
          <w:iCs/>
        </w:rPr>
      </w:pPr>
      <w:r>
        <w:rPr>
          <w:rFonts w:ascii="Calibri" w:eastAsia="Times New Roman" w:hAnsi="Calibri" w:cs="Calibri"/>
          <w:iCs/>
        </w:rPr>
        <w:t xml:space="preserve">Kamatni rizik je rizik da će se vrijednosti financijskih instrumenata promijeniti uslijed promjene tržišnih kamatnih stopa u odnosu na kamatne stope primjenjive na financijske instrumente. Društvo ima dugoročne obveze po tri kredita uz promjenjivu kamatnu stopu, te kao posljedicu toga izloženost riziku promjene kamatne stope. </w:t>
      </w:r>
    </w:p>
    <w:p w14:paraId="0A343818" w14:textId="77777777" w:rsidR="000B6D3B" w:rsidRDefault="000B6D3B" w:rsidP="000B6D3B">
      <w:pPr>
        <w:spacing w:after="0" w:line="240" w:lineRule="auto"/>
        <w:ind w:right="22"/>
        <w:jc w:val="both"/>
        <w:rPr>
          <w:rFonts w:ascii="Calibri" w:eastAsia="Times New Roman" w:hAnsi="Calibri" w:cs="Calibri"/>
          <w:iCs/>
        </w:rPr>
      </w:pPr>
      <w:r>
        <w:rPr>
          <w:rFonts w:ascii="Calibri" w:eastAsia="Times New Roman" w:hAnsi="Calibri" w:cs="Calibri"/>
          <w:iCs/>
        </w:rPr>
        <w:t>Upravljanje ovim rizikom, u jednom dijelu svodi se na usklađenje priljeva sredstava iz naknade za razvoj za podmirenje obveza po kamatama budući se naknada za razvoj namjenski koristi za otplatu tih kredita.</w:t>
      </w:r>
    </w:p>
    <w:p w14:paraId="1058B3EF" w14:textId="77777777" w:rsidR="000B6D3B" w:rsidRDefault="000B6D3B" w:rsidP="000B6D3B">
      <w:pPr>
        <w:spacing w:after="0" w:line="240" w:lineRule="auto"/>
        <w:ind w:right="22"/>
        <w:jc w:val="both"/>
        <w:rPr>
          <w:rFonts w:ascii="Calibri" w:eastAsia="Times New Roman" w:hAnsi="Calibri" w:cs="Calibri"/>
          <w:b/>
          <w:bCs/>
          <w:iCs/>
        </w:rPr>
      </w:pPr>
    </w:p>
    <w:p w14:paraId="35FB88AE" w14:textId="77777777" w:rsidR="000B6D3B" w:rsidRDefault="000B6D3B" w:rsidP="000B6D3B">
      <w:pPr>
        <w:spacing w:after="0" w:line="240" w:lineRule="auto"/>
        <w:ind w:right="22"/>
        <w:jc w:val="both"/>
        <w:rPr>
          <w:rFonts w:ascii="Calibri" w:eastAsia="Times New Roman" w:hAnsi="Calibri" w:cs="Calibri"/>
          <w:b/>
          <w:bCs/>
          <w:iCs/>
        </w:rPr>
      </w:pPr>
      <w:r>
        <w:rPr>
          <w:rFonts w:ascii="Calibri" w:eastAsia="Times New Roman" w:hAnsi="Calibri" w:cs="Calibri"/>
          <w:b/>
          <w:bCs/>
          <w:iCs/>
        </w:rPr>
        <w:t>KREDITNI RIZIK</w:t>
      </w:r>
    </w:p>
    <w:p w14:paraId="0DB73F2D" w14:textId="77777777" w:rsidR="000B6D3B" w:rsidRDefault="000B6D3B" w:rsidP="000B6D3B">
      <w:pPr>
        <w:spacing w:after="0" w:line="240" w:lineRule="auto"/>
        <w:ind w:right="22"/>
        <w:jc w:val="both"/>
        <w:rPr>
          <w:rFonts w:ascii="Calibri" w:eastAsia="Times New Roman" w:hAnsi="Calibri" w:cs="Calibri"/>
          <w:iCs/>
          <w:sz w:val="10"/>
          <w:szCs w:val="10"/>
        </w:rPr>
      </w:pPr>
    </w:p>
    <w:p w14:paraId="49FF4B28" w14:textId="77777777" w:rsidR="000B6D3B" w:rsidRDefault="000B6D3B" w:rsidP="000B6D3B">
      <w:pPr>
        <w:spacing w:after="0" w:line="240" w:lineRule="auto"/>
        <w:ind w:right="22"/>
        <w:jc w:val="both"/>
        <w:rPr>
          <w:rFonts w:ascii="Calibri" w:eastAsia="Times New Roman" w:hAnsi="Calibri" w:cs="Calibri"/>
          <w:iCs/>
        </w:rPr>
      </w:pPr>
      <w:r>
        <w:rPr>
          <w:rFonts w:ascii="Calibri" w:eastAsia="Times New Roman" w:hAnsi="Calibri" w:cs="Calibri"/>
          <w:iCs/>
        </w:rPr>
        <w:t xml:space="preserve">Kreditni rizik je rizik da jedna strana u financijskom instrumentu neće ispuniti svoje obveze te da će time prouzročiti nastanak financijskog gubitka drugoj strani. Financijska imovina koja potencijalno može izložiti Društvo kreditnom riziku obuhvaća novac i potraživanja od kupaca. Potraživanja od kupaca iskazana su umanjena za rezerviranja za utužena sumnjiva i sporna potraživanja. Nema dodatnog kreditnog rizika za podmirenje kratkoročnih obveza Društva koji bi utjecao na povećanje vrijednosti rezerviranja za umanjenje vrijednosti kupaca i ostalih potraživanja. </w:t>
      </w:r>
    </w:p>
    <w:p w14:paraId="61F32501" w14:textId="77777777" w:rsidR="000B6D3B" w:rsidRDefault="000B6D3B" w:rsidP="000B6D3B">
      <w:pPr>
        <w:spacing w:after="0" w:line="240" w:lineRule="auto"/>
        <w:ind w:right="22"/>
        <w:jc w:val="both"/>
        <w:rPr>
          <w:rFonts w:ascii="Calibri" w:eastAsia="Times New Roman" w:hAnsi="Calibri" w:cs="Calibri"/>
          <w:b/>
          <w:bCs/>
          <w:iCs/>
        </w:rPr>
      </w:pPr>
    </w:p>
    <w:p w14:paraId="47DF91A5" w14:textId="77777777" w:rsidR="000B6D3B" w:rsidRDefault="000B6D3B" w:rsidP="000B6D3B">
      <w:pPr>
        <w:spacing w:after="0" w:line="240" w:lineRule="auto"/>
        <w:ind w:right="22"/>
        <w:jc w:val="both"/>
        <w:rPr>
          <w:rFonts w:ascii="Calibri" w:eastAsia="Times New Roman" w:hAnsi="Calibri" w:cs="Calibri"/>
          <w:b/>
          <w:bCs/>
          <w:iCs/>
        </w:rPr>
      </w:pPr>
      <w:r>
        <w:rPr>
          <w:rFonts w:ascii="Calibri" w:eastAsia="Times New Roman" w:hAnsi="Calibri" w:cs="Calibri"/>
          <w:b/>
          <w:bCs/>
          <w:iCs/>
        </w:rPr>
        <w:t>RIZIK LIKVIDNOSTI</w:t>
      </w:r>
    </w:p>
    <w:p w14:paraId="66E35190" w14:textId="77777777" w:rsidR="000B6D3B" w:rsidRDefault="000B6D3B" w:rsidP="000B6D3B">
      <w:pPr>
        <w:spacing w:after="0" w:line="240" w:lineRule="auto"/>
        <w:ind w:right="22"/>
        <w:jc w:val="both"/>
        <w:rPr>
          <w:rFonts w:ascii="Calibri" w:eastAsia="Times New Roman" w:hAnsi="Calibri" w:cs="Calibri"/>
          <w:iCs/>
          <w:sz w:val="10"/>
          <w:szCs w:val="10"/>
        </w:rPr>
      </w:pPr>
    </w:p>
    <w:p w14:paraId="39BCED5C" w14:textId="77777777" w:rsidR="000B6D3B" w:rsidRDefault="000B6D3B" w:rsidP="000B6D3B">
      <w:pPr>
        <w:overflowPunct w:val="0"/>
        <w:autoSpaceDE w:val="0"/>
        <w:autoSpaceDN w:val="0"/>
        <w:adjustRightInd w:val="0"/>
        <w:spacing w:after="0" w:line="240" w:lineRule="auto"/>
        <w:jc w:val="both"/>
        <w:textAlignment w:val="baseline"/>
        <w:rPr>
          <w:rFonts w:ascii="Calibri" w:eastAsia="Times New Roman" w:hAnsi="Calibri" w:cs="Calibri"/>
          <w:iCs/>
        </w:rPr>
      </w:pPr>
      <w:r>
        <w:rPr>
          <w:rFonts w:ascii="Calibri" w:eastAsia="Times New Roman" w:hAnsi="Calibri" w:cs="Calibri"/>
          <w:iCs/>
        </w:rPr>
        <w:t xml:space="preserve">Rizik likvidnosti, koji se također naziva rizikom financiranja, je rizik suočavanja Društva s teškoćama u pribavljanju sredstava za podmirenje obveza po financijskim instrumentima.  Kratkoročne obveze Društva koje dospijevaju u 2020. godini pokrivene su kratkotrajnom imovinom, budući se dijelom podmiruju iz vlastitih sredstava, naknade za razvoj, a dijelom iz sredstava proračuna. </w:t>
      </w:r>
    </w:p>
    <w:p w14:paraId="1FEAB96A" w14:textId="77777777" w:rsidR="000B6D3B" w:rsidRDefault="000B6D3B" w:rsidP="000B6D3B">
      <w:pPr>
        <w:overflowPunct w:val="0"/>
        <w:autoSpaceDE w:val="0"/>
        <w:autoSpaceDN w:val="0"/>
        <w:adjustRightInd w:val="0"/>
        <w:spacing w:after="0" w:line="240" w:lineRule="auto"/>
        <w:jc w:val="both"/>
        <w:textAlignment w:val="baseline"/>
        <w:rPr>
          <w:rFonts w:ascii="Calibri" w:eastAsia="Times New Roman" w:hAnsi="Calibri" w:cs="Calibri"/>
          <w:iCs/>
        </w:rPr>
      </w:pPr>
      <w:r>
        <w:rPr>
          <w:rFonts w:ascii="Calibri" w:eastAsia="Times New Roman" w:hAnsi="Calibri" w:cs="Calibri"/>
          <w:iCs/>
        </w:rPr>
        <w:t>Kao što je navedeno u Bilješci 6., pandemija bolesti COVID-19 uzrokovana virusom SARS-CoV-2 (koronavirus) imat će utjecaj na poslovanje u 2021. godini, kako na smanjenje prihoda tako i na likvidnost.</w:t>
      </w:r>
    </w:p>
    <w:p w14:paraId="0AD7ECEE" w14:textId="77777777" w:rsidR="000B6D3B" w:rsidRDefault="000B6D3B" w:rsidP="000B6D3B">
      <w:pPr>
        <w:tabs>
          <w:tab w:val="left" w:pos="-180"/>
        </w:tabs>
        <w:spacing w:after="0" w:line="240" w:lineRule="auto"/>
        <w:ind w:right="-17"/>
        <w:jc w:val="both"/>
        <w:rPr>
          <w:rFonts w:ascii="Calibri" w:eastAsia="Times New Roman" w:hAnsi="Calibri" w:cs="Calibri"/>
          <w:b/>
          <w:bCs/>
          <w:iCs/>
          <w:caps/>
        </w:rPr>
      </w:pPr>
    </w:p>
    <w:p w14:paraId="18A91CA3" w14:textId="77777777" w:rsidR="000B6D3B" w:rsidRDefault="000B6D3B" w:rsidP="000B6D3B">
      <w:pPr>
        <w:tabs>
          <w:tab w:val="left" w:pos="-180"/>
        </w:tabs>
        <w:spacing w:after="0" w:line="240" w:lineRule="auto"/>
        <w:ind w:right="-17"/>
        <w:jc w:val="both"/>
        <w:rPr>
          <w:rFonts w:ascii="Calibri" w:eastAsia="Times New Roman" w:hAnsi="Calibri" w:cs="Calibri"/>
          <w:b/>
          <w:bCs/>
          <w:iCs/>
          <w:caps/>
        </w:rPr>
      </w:pPr>
      <w:r>
        <w:rPr>
          <w:rFonts w:ascii="Calibri" w:eastAsia="Times New Roman" w:hAnsi="Calibri" w:cs="Calibri"/>
          <w:b/>
          <w:bCs/>
          <w:iCs/>
          <w:caps/>
        </w:rPr>
        <w:t>Procjena fer vrijednosti</w:t>
      </w:r>
    </w:p>
    <w:p w14:paraId="2ABC5935" w14:textId="77777777" w:rsidR="000B6D3B" w:rsidRDefault="000B6D3B" w:rsidP="000B6D3B">
      <w:pPr>
        <w:tabs>
          <w:tab w:val="left" w:pos="-180"/>
        </w:tabs>
        <w:spacing w:after="0" w:line="240" w:lineRule="auto"/>
        <w:ind w:right="-17"/>
        <w:jc w:val="both"/>
        <w:rPr>
          <w:rFonts w:ascii="Calibri" w:eastAsia="Times New Roman" w:hAnsi="Calibri" w:cs="Calibri"/>
          <w:b/>
          <w:bCs/>
          <w:iCs/>
          <w:caps/>
          <w:sz w:val="10"/>
          <w:szCs w:val="10"/>
        </w:rPr>
      </w:pPr>
    </w:p>
    <w:p w14:paraId="16B6FE61" w14:textId="77777777" w:rsidR="000B6D3B" w:rsidRDefault="000B6D3B" w:rsidP="000B6D3B">
      <w:pPr>
        <w:tabs>
          <w:tab w:val="left" w:pos="-180"/>
        </w:tabs>
        <w:spacing w:after="0" w:line="240" w:lineRule="auto"/>
        <w:ind w:right="-17"/>
        <w:jc w:val="both"/>
        <w:rPr>
          <w:rFonts w:ascii="Calibri" w:eastAsia="Times New Roman" w:hAnsi="Calibri" w:cs="Calibri"/>
          <w:iCs/>
        </w:rPr>
      </w:pPr>
      <w:r>
        <w:rPr>
          <w:rFonts w:ascii="Calibri" w:eastAsia="Times New Roman" w:hAnsi="Calibri" w:cs="Calibri"/>
          <w:iCs/>
        </w:rPr>
        <w:t>Glavni financijski instrumenti Društva koji se ne vode po tržišnoj vrijednosti su novac i novčani ekvivalenti, potraživanja od kupaca, ostala potraživanja, dugoročna financijska imovina, obveze prema dobavljačima i ostale obveze, te dugoročni krediti.</w:t>
      </w:r>
    </w:p>
    <w:p w14:paraId="05498497" w14:textId="77777777" w:rsidR="000B6D3B" w:rsidRDefault="000B6D3B" w:rsidP="000B6D3B">
      <w:pPr>
        <w:tabs>
          <w:tab w:val="left" w:pos="-180"/>
        </w:tabs>
        <w:overflowPunct w:val="0"/>
        <w:autoSpaceDE w:val="0"/>
        <w:autoSpaceDN w:val="0"/>
        <w:adjustRightInd w:val="0"/>
        <w:spacing w:after="0" w:line="240" w:lineRule="auto"/>
        <w:ind w:right="-17"/>
        <w:jc w:val="both"/>
        <w:textAlignment w:val="baseline"/>
        <w:rPr>
          <w:rFonts w:ascii="Calibri" w:eastAsia="Times New Roman" w:hAnsi="Calibri" w:cs="Calibri"/>
          <w:iCs/>
          <w:lang w:eastAsia="hr-HR"/>
        </w:rPr>
      </w:pPr>
      <w:r>
        <w:rPr>
          <w:rFonts w:ascii="Calibri" w:eastAsia="Times New Roman" w:hAnsi="Calibri" w:cs="Calibri"/>
          <w:iCs/>
          <w:lang w:eastAsia="hr-HR"/>
        </w:rPr>
        <w:t xml:space="preserve">Iskazana knjigovodstvena vrijednost novca i novčanih ekvivalenata približna je njihovoj fer vrijednosti zbog kratkoročnog dospijeća ovih financijskih instrumenata. </w:t>
      </w:r>
    </w:p>
    <w:p w14:paraId="707054EB" w14:textId="77777777" w:rsidR="000B6D3B" w:rsidRDefault="000B6D3B" w:rsidP="000B6D3B">
      <w:pPr>
        <w:spacing w:after="0" w:line="240" w:lineRule="auto"/>
        <w:ind w:right="92"/>
        <w:jc w:val="both"/>
        <w:rPr>
          <w:rFonts w:ascii="Calibri" w:eastAsia="Calibri" w:hAnsi="Calibri" w:cs="Calibri"/>
          <w:iCs/>
        </w:rPr>
      </w:pPr>
    </w:p>
    <w:p w14:paraId="2076A0D4" w14:textId="77777777" w:rsidR="000B6D3B" w:rsidRDefault="000B6D3B" w:rsidP="000B6D3B">
      <w:pPr>
        <w:spacing w:after="0" w:line="240" w:lineRule="auto"/>
        <w:ind w:right="92"/>
        <w:jc w:val="both"/>
        <w:rPr>
          <w:rFonts w:ascii="Calibri" w:eastAsia="Calibri" w:hAnsi="Calibri" w:cs="Calibri"/>
          <w:iCs/>
        </w:rPr>
      </w:pPr>
    </w:p>
    <w:p w14:paraId="080A0D99" w14:textId="77777777" w:rsidR="000B6D3B" w:rsidRDefault="000B6D3B" w:rsidP="000B6D3B">
      <w:pPr>
        <w:numPr>
          <w:ilvl w:val="0"/>
          <w:numId w:val="6"/>
        </w:numPr>
        <w:spacing w:after="0" w:line="240" w:lineRule="auto"/>
        <w:ind w:right="91"/>
        <w:contextualSpacing/>
        <w:jc w:val="both"/>
        <w:rPr>
          <w:rFonts w:ascii="Calibri" w:eastAsia="Times New Roman" w:hAnsi="Calibri" w:cs="Calibri"/>
          <w:b/>
          <w:bCs/>
          <w:iCs/>
          <w:sz w:val="24"/>
          <w:szCs w:val="24"/>
        </w:rPr>
      </w:pPr>
      <w:r>
        <w:rPr>
          <w:rFonts w:ascii="Calibri" w:eastAsia="Times New Roman" w:hAnsi="Calibri" w:cs="Calibri"/>
          <w:b/>
          <w:bCs/>
          <w:iCs/>
          <w:sz w:val="24"/>
          <w:szCs w:val="24"/>
        </w:rPr>
        <w:t xml:space="preserve">DOGAĐAJI NAKON DATUMA BILANCE </w:t>
      </w:r>
    </w:p>
    <w:p w14:paraId="04B85365" w14:textId="77777777" w:rsidR="000B6D3B" w:rsidRDefault="000B6D3B" w:rsidP="000B6D3B">
      <w:pPr>
        <w:spacing w:after="0" w:line="240" w:lineRule="auto"/>
        <w:ind w:right="91"/>
        <w:jc w:val="both"/>
        <w:rPr>
          <w:rFonts w:ascii="Calibri" w:eastAsia="Calibri" w:hAnsi="Calibri" w:cs="Calibri"/>
          <w:iCs/>
        </w:rPr>
      </w:pPr>
    </w:p>
    <w:p w14:paraId="2E63EEA2" w14:textId="77777777" w:rsidR="000B6D3B" w:rsidRDefault="000B6D3B" w:rsidP="000B6D3B">
      <w:pPr>
        <w:numPr>
          <w:ilvl w:val="1"/>
          <w:numId w:val="6"/>
        </w:numPr>
        <w:spacing w:after="0" w:line="240" w:lineRule="auto"/>
        <w:ind w:right="91"/>
        <w:contextualSpacing/>
        <w:jc w:val="both"/>
        <w:rPr>
          <w:rFonts w:ascii="Calibri" w:eastAsia="Times New Roman" w:hAnsi="Calibri" w:cs="Calibri"/>
          <w:b/>
          <w:bCs/>
        </w:rPr>
      </w:pPr>
      <w:r>
        <w:rPr>
          <w:rFonts w:ascii="Calibri" w:eastAsia="Times New Roman" w:hAnsi="Calibri" w:cs="Calibri"/>
          <w:b/>
          <w:bCs/>
        </w:rPr>
        <w:t xml:space="preserve">Izmjene Društvenog ugovora 17. veljače 2021. godine - prijenos poslovnog udjela i povećanje temeljnog kapitala društva </w:t>
      </w:r>
    </w:p>
    <w:p w14:paraId="4AC68562" w14:textId="77777777" w:rsidR="000B6D3B" w:rsidRDefault="000B6D3B" w:rsidP="000B6D3B">
      <w:pPr>
        <w:spacing w:after="0" w:line="240" w:lineRule="auto"/>
        <w:ind w:right="91"/>
        <w:jc w:val="both"/>
        <w:rPr>
          <w:rFonts w:ascii="Calibri" w:eastAsia="Times New Roman" w:hAnsi="Calibri" w:cs="Calibri"/>
          <w:b/>
          <w:bCs/>
        </w:rPr>
      </w:pPr>
    </w:p>
    <w:p w14:paraId="3CF7D3D9" w14:textId="77777777" w:rsidR="000B6D3B" w:rsidRDefault="000B6D3B" w:rsidP="000B6D3B">
      <w:pPr>
        <w:spacing w:after="0" w:line="240" w:lineRule="auto"/>
        <w:ind w:right="91"/>
        <w:jc w:val="both"/>
        <w:rPr>
          <w:rFonts w:ascii="Calibri" w:eastAsia="Times New Roman" w:hAnsi="Calibri" w:cs="Calibri"/>
        </w:rPr>
      </w:pPr>
      <w:r>
        <w:rPr>
          <w:rFonts w:ascii="Calibri" w:eastAsia="Times New Roman" w:hAnsi="Calibri" w:cs="Calibri"/>
        </w:rPr>
        <w:t>Rješenjem Trgovačkog suda od 17. veljače 2021. godine provedene su sljedeći upisi:</w:t>
      </w:r>
    </w:p>
    <w:p w14:paraId="0A86FE1B" w14:textId="77777777" w:rsidR="000B6D3B" w:rsidRDefault="000B6D3B" w:rsidP="000B6D3B">
      <w:pPr>
        <w:spacing w:after="0" w:line="240" w:lineRule="auto"/>
        <w:ind w:right="91"/>
        <w:jc w:val="both"/>
        <w:rPr>
          <w:rFonts w:ascii="Calibri" w:eastAsia="Times New Roman" w:hAnsi="Calibri" w:cs="Calibri"/>
        </w:rPr>
      </w:pPr>
    </w:p>
    <w:p w14:paraId="77CF1637" w14:textId="77777777" w:rsidR="000B6D3B" w:rsidRDefault="000B6D3B" w:rsidP="000B6D3B">
      <w:pPr>
        <w:numPr>
          <w:ilvl w:val="0"/>
          <w:numId w:val="4"/>
        </w:numPr>
        <w:spacing w:after="0" w:line="240" w:lineRule="auto"/>
        <w:ind w:left="284" w:right="91" w:hanging="284"/>
        <w:contextualSpacing/>
        <w:jc w:val="both"/>
        <w:rPr>
          <w:rFonts w:ascii="Calibri" w:eastAsia="Times New Roman" w:hAnsi="Calibri" w:cs="Calibri"/>
        </w:rPr>
      </w:pPr>
      <w:r>
        <w:rPr>
          <w:rFonts w:ascii="Calibri" w:eastAsia="Times New Roman" w:hAnsi="Calibri" w:cs="Calibri"/>
        </w:rPr>
        <w:t>Temeljem Sporazuma o spajanju fekalne kanalizacije naselja Kornić na uređaj za pročišćavanje otpadnih voda naselja Punat od 14. svibnja 2010. godine i Dodatka I Sporazuma od 28. srpnja 2020. godine izvršen je prijenosa poslovnog udjela s Općine Punat na Grad Krk nominalnog iznosa 740.800,00 kn.</w:t>
      </w:r>
    </w:p>
    <w:p w14:paraId="5E9435F6" w14:textId="77777777" w:rsidR="000B6D3B" w:rsidRDefault="000B6D3B" w:rsidP="000B6D3B">
      <w:pPr>
        <w:spacing w:after="0" w:line="240" w:lineRule="auto"/>
        <w:ind w:right="91"/>
        <w:jc w:val="both"/>
        <w:rPr>
          <w:rFonts w:ascii="Calibri" w:eastAsia="Times New Roman" w:hAnsi="Calibri" w:cs="Calibri"/>
        </w:rPr>
      </w:pPr>
      <w:r>
        <w:rPr>
          <w:rFonts w:ascii="Calibri" w:eastAsia="Times New Roman" w:hAnsi="Calibri" w:cs="Calibri"/>
        </w:rPr>
        <w:t xml:space="preserve"> </w:t>
      </w:r>
    </w:p>
    <w:p w14:paraId="76E7137A" w14:textId="77777777" w:rsidR="000B6D3B" w:rsidRDefault="000B6D3B" w:rsidP="000B6D3B">
      <w:pPr>
        <w:numPr>
          <w:ilvl w:val="0"/>
          <w:numId w:val="4"/>
        </w:numPr>
        <w:spacing w:after="0" w:line="240" w:lineRule="auto"/>
        <w:ind w:left="284" w:right="91" w:hanging="284"/>
        <w:contextualSpacing/>
        <w:jc w:val="both"/>
        <w:rPr>
          <w:rFonts w:ascii="Calibri" w:eastAsia="Times New Roman" w:hAnsi="Calibri" w:cs="Calibri"/>
        </w:rPr>
      </w:pPr>
      <w:r>
        <w:rPr>
          <w:rFonts w:ascii="Calibri" w:eastAsia="Times New Roman" w:hAnsi="Calibri" w:cs="Calibri"/>
        </w:rPr>
        <w:t xml:space="preserve">Članovi Društva donijeli su 23. prosinca 2020. godine Odluku o povećanju temeljnog kapitala društva ulaganjem prava. Prava su se unijela temeljem ugovora o ulaganju prava u temeljni kapital Društva od 23. prosinca 2020. godine, sklopljenih između Društva i postojećih članova društva. Unesena prava se odnose na sredstva uplaćena u razdoblju od 1. siječnja 2011. godine do 31. </w:t>
      </w:r>
      <w:r>
        <w:rPr>
          <w:rFonts w:ascii="Calibri" w:eastAsia="Times New Roman" w:hAnsi="Calibri" w:cs="Calibri"/>
        </w:rPr>
        <w:lastRenderedPageBreak/>
        <w:t>prosinca 2019. godine temeljem ugovora o financiranju izgradnje objekata i uređaja komunalne infrastrukture, sklopljenih između Društva i postojećih članova društva. Ukupno je doznačeno 56.068.094,53 kn, od čega se temeljni kapital povećao za iznos od 56.067.800,00 kn, a razlika od 294,53 kn raspoređena je u kapitalni dobitak.</w:t>
      </w:r>
    </w:p>
    <w:p w14:paraId="19E32BDB" w14:textId="77777777" w:rsidR="000B6D3B" w:rsidRDefault="000B6D3B" w:rsidP="000B6D3B">
      <w:pPr>
        <w:spacing w:after="0" w:line="240" w:lineRule="auto"/>
        <w:ind w:right="92"/>
        <w:jc w:val="both"/>
        <w:rPr>
          <w:rFonts w:ascii="Calibri" w:eastAsia="Times New Roman" w:hAnsi="Calibri" w:cs="Times New Roman"/>
          <w:sz w:val="24"/>
          <w:szCs w:val="24"/>
        </w:rPr>
      </w:pPr>
    </w:p>
    <w:tbl>
      <w:tblPr>
        <w:tblW w:w="9734" w:type="dxa"/>
        <w:tblInd w:w="131" w:type="dxa"/>
        <w:tblLook w:val="04A0" w:firstRow="1" w:lastRow="0" w:firstColumn="1" w:lastColumn="0" w:noHBand="0" w:noVBand="1"/>
      </w:tblPr>
      <w:tblGrid>
        <w:gridCol w:w="1027"/>
        <w:gridCol w:w="891"/>
        <w:gridCol w:w="1134"/>
        <w:gridCol w:w="1018"/>
        <w:gridCol w:w="1134"/>
        <w:gridCol w:w="1042"/>
        <w:gridCol w:w="1134"/>
        <w:gridCol w:w="915"/>
        <w:gridCol w:w="883"/>
        <w:gridCol w:w="626"/>
      </w:tblGrid>
      <w:tr w:rsidR="000B6D3B" w14:paraId="506311E2" w14:textId="77777777" w:rsidTr="000B6D3B">
        <w:trPr>
          <w:gridAfter w:val="1"/>
          <w:wAfter w:w="626" w:type="dxa"/>
          <w:trHeight w:val="509"/>
        </w:trPr>
        <w:tc>
          <w:tcPr>
            <w:tcW w:w="1027" w:type="dxa"/>
            <w:vMerge w:val="restart"/>
            <w:tcBorders>
              <w:top w:val="double" w:sz="6" w:space="0" w:color="969696"/>
              <w:left w:val="double" w:sz="6" w:space="0" w:color="969696"/>
              <w:bottom w:val="double" w:sz="6" w:space="0" w:color="969696"/>
              <w:right w:val="double" w:sz="6" w:space="0" w:color="969696"/>
            </w:tcBorders>
            <w:noWrap/>
            <w:vAlign w:val="center"/>
            <w:hideMark/>
          </w:tcPr>
          <w:p w14:paraId="3B161FD7"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Član Društva</w:t>
            </w:r>
          </w:p>
        </w:tc>
        <w:tc>
          <w:tcPr>
            <w:tcW w:w="2007" w:type="dxa"/>
            <w:gridSpan w:val="2"/>
            <w:vMerge w:val="restart"/>
            <w:tcBorders>
              <w:top w:val="double" w:sz="6" w:space="0" w:color="969696"/>
              <w:left w:val="double" w:sz="6" w:space="0" w:color="969696"/>
              <w:bottom w:val="single" w:sz="4" w:space="0" w:color="969696"/>
              <w:right w:val="double" w:sz="6" w:space="0" w:color="969696"/>
            </w:tcBorders>
            <w:vAlign w:val="center"/>
            <w:hideMark/>
          </w:tcPr>
          <w:p w14:paraId="5AD0462F"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UPISANI                     TEMELJNI KAPITAL 23.12.2013.</w:t>
            </w:r>
          </w:p>
        </w:tc>
        <w:tc>
          <w:tcPr>
            <w:tcW w:w="1018" w:type="dxa"/>
            <w:vMerge w:val="restart"/>
            <w:tcBorders>
              <w:top w:val="double" w:sz="6" w:space="0" w:color="969696"/>
              <w:left w:val="double" w:sz="6" w:space="0" w:color="969696"/>
              <w:bottom w:val="double" w:sz="6" w:space="0" w:color="969696"/>
              <w:right w:val="nil"/>
            </w:tcBorders>
            <w:vAlign w:val="center"/>
            <w:hideMark/>
          </w:tcPr>
          <w:p w14:paraId="03215311"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prijenos poslovnog udjela</w:t>
            </w:r>
          </w:p>
        </w:tc>
        <w:tc>
          <w:tcPr>
            <w:tcW w:w="1116" w:type="dxa"/>
            <w:vMerge w:val="restart"/>
            <w:tcBorders>
              <w:top w:val="double" w:sz="6" w:space="0" w:color="969696"/>
              <w:left w:val="double" w:sz="6" w:space="0" w:color="969696"/>
              <w:bottom w:val="double" w:sz="6" w:space="0" w:color="969696"/>
              <w:right w:val="double" w:sz="6" w:space="0" w:color="969696"/>
            </w:tcBorders>
            <w:vAlign w:val="center"/>
            <w:hideMark/>
          </w:tcPr>
          <w:p w14:paraId="307C6C6C"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novi udjeli nakon prijenosa poslovnog udjela</w:t>
            </w:r>
          </w:p>
        </w:tc>
        <w:tc>
          <w:tcPr>
            <w:tcW w:w="1026" w:type="dxa"/>
            <w:vMerge w:val="restart"/>
            <w:tcBorders>
              <w:top w:val="double" w:sz="6" w:space="0" w:color="969696"/>
              <w:left w:val="double" w:sz="6" w:space="0" w:color="969696"/>
              <w:bottom w:val="double" w:sz="6" w:space="0" w:color="969696"/>
              <w:right w:val="double" w:sz="6" w:space="0" w:color="969696"/>
            </w:tcBorders>
            <w:vAlign w:val="center"/>
            <w:hideMark/>
          </w:tcPr>
          <w:p w14:paraId="30583C63"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unos prava</w:t>
            </w:r>
          </w:p>
        </w:tc>
        <w:tc>
          <w:tcPr>
            <w:tcW w:w="2031" w:type="dxa"/>
            <w:gridSpan w:val="2"/>
            <w:vMerge w:val="restart"/>
            <w:tcBorders>
              <w:top w:val="double" w:sz="6" w:space="0" w:color="969696"/>
              <w:left w:val="double" w:sz="6" w:space="0" w:color="969696"/>
              <w:bottom w:val="single" w:sz="4" w:space="0" w:color="969696"/>
              <w:right w:val="double" w:sz="6" w:space="0" w:color="969696"/>
            </w:tcBorders>
            <w:vAlign w:val="center"/>
            <w:hideMark/>
          </w:tcPr>
          <w:p w14:paraId="44116194"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UPISANI TEMELJNI KAPITAL 17.02.2021.</w:t>
            </w:r>
          </w:p>
        </w:tc>
        <w:tc>
          <w:tcPr>
            <w:tcW w:w="883" w:type="dxa"/>
            <w:vMerge w:val="restart"/>
            <w:tcBorders>
              <w:top w:val="double" w:sz="6" w:space="0" w:color="969696"/>
              <w:left w:val="double" w:sz="6" w:space="0" w:color="969696"/>
              <w:bottom w:val="double" w:sz="6" w:space="0" w:color="969696"/>
              <w:right w:val="double" w:sz="6" w:space="0" w:color="969696"/>
            </w:tcBorders>
            <w:noWrap/>
            <w:vAlign w:val="center"/>
            <w:hideMark/>
          </w:tcPr>
          <w:p w14:paraId="69D94CC5" w14:textId="77777777" w:rsidR="000B6D3B" w:rsidRDefault="000B6D3B">
            <w:pPr>
              <w:spacing w:after="0" w:line="240" w:lineRule="auto"/>
              <w:jc w:val="center"/>
              <w:rPr>
                <w:rFonts w:ascii="Calibri" w:eastAsia="Times New Roman" w:hAnsi="Calibri" w:cs="Calibri"/>
                <w:b/>
                <w:bCs/>
                <w:sz w:val="16"/>
                <w:szCs w:val="16"/>
                <w:lang w:eastAsia="hr-HR"/>
              </w:rPr>
            </w:pPr>
            <w:r>
              <w:rPr>
                <w:rFonts w:ascii="Calibri" w:eastAsia="Times New Roman" w:hAnsi="Calibri" w:cs="Calibri"/>
                <w:b/>
                <w:bCs/>
                <w:sz w:val="16"/>
                <w:szCs w:val="16"/>
                <w:lang w:eastAsia="hr-HR"/>
              </w:rPr>
              <w:t>promjena</w:t>
            </w:r>
          </w:p>
        </w:tc>
      </w:tr>
      <w:tr w:rsidR="000B6D3B" w14:paraId="3CC47515" w14:textId="77777777" w:rsidTr="000B6D3B">
        <w:trPr>
          <w:trHeight w:val="27"/>
        </w:trPr>
        <w:tc>
          <w:tcPr>
            <w:tcW w:w="0" w:type="auto"/>
            <w:vMerge/>
            <w:tcBorders>
              <w:top w:val="double" w:sz="6" w:space="0" w:color="969696"/>
              <w:left w:val="double" w:sz="6" w:space="0" w:color="969696"/>
              <w:bottom w:val="double" w:sz="6" w:space="0" w:color="969696"/>
              <w:right w:val="double" w:sz="6" w:space="0" w:color="969696"/>
            </w:tcBorders>
            <w:vAlign w:val="center"/>
            <w:hideMark/>
          </w:tcPr>
          <w:p w14:paraId="03B1EFA9" w14:textId="77777777" w:rsidR="000B6D3B" w:rsidRDefault="000B6D3B">
            <w:pPr>
              <w:spacing w:after="0"/>
              <w:rPr>
                <w:rFonts w:ascii="Calibri" w:eastAsia="Times New Roman" w:hAnsi="Calibri" w:cs="Calibri"/>
                <w:b/>
                <w:bCs/>
                <w:sz w:val="18"/>
                <w:szCs w:val="18"/>
                <w:lang w:eastAsia="hr-HR"/>
              </w:rPr>
            </w:pPr>
          </w:p>
        </w:tc>
        <w:tc>
          <w:tcPr>
            <w:tcW w:w="0" w:type="auto"/>
            <w:gridSpan w:val="2"/>
            <w:vMerge/>
            <w:tcBorders>
              <w:top w:val="double" w:sz="6" w:space="0" w:color="969696"/>
              <w:left w:val="double" w:sz="6" w:space="0" w:color="969696"/>
              <w:bottom w:val="single" w:sz="4" w:space="0" w:color="969696"/>
              <w:right w:val="double" w:sz="6" w:space="0" w:color="969696"/>
            </w:tcBorders>
            <w:vAlign w:val="center"/>
            <w:hideMark/>
          </w:tcPr>
          <w:p w14:paraId="5C43D0BA" w14:textId="77777777" w:rsidR="000B6D3B" w:rsidRDefault="000B6D3B">
            <w:pPr>
              <w:spacing w:after="0"/>
              <w:rPr>
                <w:rFonts w:ascii="Calibri" w:eastAsia="Times New Roman" w:hAnsi="Calibri" w:cs="Calibri"/>
                <w:b/>
                <w:bCs/>
                <w:sz w:val="18"/>
                <w:szCs w:val="18"/>
                <w:lang w:eastAsia="hr-HR"/>
              </w:rPr>
            </w:pPr>
          </w:p>
        </w:tc>
        <w:tc>
          <w:tcPr>
            <w:tcW w:w="0" w:type="auto"/>
            <w:vMerge/>
            <w:tcBorders>
              <w:top w:val="double" w:sz="6" w:space="0" w:color="969696"/>
              <w:left w:val="double" w:sz="6" w:space="0" w:color="969696"/>
              <w:bottom w:val="double" w:sz="6" w:space="0" w:color="969696"/>
              <w:right w:val="nil"/>
            </w:tcBorders>
            <w:vAlign w:val="center"/>
            <w:hideMark/>
          </w:tcPr>
          <w:p w14:paraId="30AB6176" w14:textId="77777777" w:rsidR="000B6D3B" w:rsidRDefault="000B6D3B">
            <w:pPr>
              <w:spacing w:after="0"/>
              <w:rPr>
                <w:rFonts w:ascii="Calibri" w:eastAsia="Times New Roman" w:hAnsi="Calibri" w:cs="Calibri"/>
                <w:b/>
                <w:bCs/>
                <w:sz w:val="18"/>
                <w:szCs w:val="18"/>
                <w:lang w:eastAsia="hr-HR"/>
              </w:rPr>
            </w:pPr>
          </w:p>
        </w:tc>
        <w:tc>
          <w:tcPr>
            <w:tcW w:w="0" w:type="auto"/>
            <w:vMerge/>
            <w:tcBorders>
              <w:top w:val="double" w:sz="6" w:space="0" w:color="969696"/>
              <w:left w:val="double" w:sz="6" w:space="0" w:color="969696"/>
              <w:bottom w:val="double" w:sz="6" w:space="0" w:color="969696"/>
              <w:right w:val="double" w:sz="6" w:space="0" w:color="969696"/>
            </w:tcBorders>
            <w:vAlign w:val="center"/>
            <w:hideMark/>
          </w:tcPr>
          <w:p w14:paraId="39C6C94E" w14:textId="77777777" w:rsidR="000B6D3B" w:rsidRDefault="000B6D3B">
            <w:pPr>
              <w:spacing w:after="0"/>
              <w:rPr>
                <w:rFonts w:ascii="Calibri" w:eastAsia="Times New Roman" w:hAnsi="Calibri" w:cs="Calibri"/>
                <w:b/>
                <w:bCs/>
                <w:sz w:val="18"/>
                <w:szCs w:val="18"/>
                <w:lang w:eastAsia="hr-HR"/>
              </w:rPr>
            </w:pPr>
          </w:p>
        </w:tc>
        <w:tc>
          <w:tcPr>
            <w:tcW w:w="0" w:type="auto"/>
            <w:vMerge/>
            <w:tcBorders>
              <w:top w:val="double" w:sz="6" w:space="0" w:color="969696"/>
              <w:left w:val="double" w:sz="6" w:space="0" w:color="969696"/>
              <w:bottom w:val="double" w:sz="6" w:space="0" w:color="969696"/>
              <w:right w:val="double" w:sz="6" w:space="0" w:color="969696"/>
            </w:tcBorders>
            <w:vAlign w:val="center"/>
            <w:hideMark/>
          </w:tcPr>
          <w:p w14:paraId="1A257C39" w14:textId="77777777" w:rsidR="000B6D3B" w:rsidRDefault="000B6D3B">
            <w:pPr>
              <w:spacing w:after="0"/>
              <w:rPr>
                <w:rFonts w:ascii="Calibri" w:eastAsia="Times New Roman" w:hAnsi="Calibri" w:cs="Calibri"/>
                <w:b/>
                <w:bCs/>
                <w:sz w:val="18"/>
                <w:szCs w:val="18"/>
                <w:lang w:eastAsia="hr-HR"/>
              </w:rPr>
            </w:pPr>
          </w:p>
        </w:tc>
        <w:tc>
          <w:tcPr>
            <w:tcW w:w="0" w:type="auto"/>
            <w:gridSpan w:val="2"/>
            <w:vMerge/>
            <w:tcBorders>
              <w:top w:val="double" w:sz="6" w:space="0" w:color="969696"/>
              <w:left w:val="double" w:sz="6" w:space="0" w:color="969696"/>
              <w:bottom w:val="single" w:sz="4" w:space="0" w:color="969696"/>
              <w:right w:val="double" w:sz="6" w:space="0" w:color="969696"/>
            </w:tcBorders>
            <w:vAlign w:val="center"/>
            <w:hideMark/>
          </w:tcPr>
          <w:p w14:paraId="2B1B43BE" w14:textId="77777777" w:rsidR="000B6D3B" w:rsidRDefault="000B6D3B">
            <w:pPr>
              <w:spacing w:after="0"/>
              <w:rPr>
                <w:rFonts w:ascii="Calibri" w:eastAsia="Times New Roman" w:hAnsi="Calibri" w:cs="Calibri"/>
                <w:b/>
                <w:bCs/>
                <w:sz w:val="18"/>
                <w:szCs w:val="18"/>
                <w:lang w:eastAsia="hr-HR"/>
              </w:rPr>
            </w:pPr>
          </w:p>
        </w:tc>
        <w:tc>
          <w:tcPr>
            <w:tcW w:w="0" w:type="auto"/>
            <w:vMerge/>
            <w:tcBorders>
              <w:top w:val="double" w:sz="6" w:space="0" w:color="969696"/>
              <w:left w:val="double" w:sz="6" w:space="0" w:color="969696"/>
              <w:bottom w:val="double" w:sz="6" w:space="0" w:color="969696"/>
              <w:right w:val="double" w:sz="6" w:space="0" w:color="969696"/>
            </w:tcBorders>
            <w:vAlign w:val="center"/>
            <w:hideMark/>
          </w:tcPr>
          <w:p w14:paraId="500289DE" w14:textId="77777777" w:rsidR="000B6D3B" w:rsidRDefault="000B6D3B">
            <w:pPr>
              <w:spacing w:after="0"/>
              <w:rPr>
                <w:rFonts w:ascii="Calibri" w:eastAsia="Times New Roman" w:hAnsi="Calibri" w:cs="Calibri"/>
                <w:b/>
                <w:bCs/>
                <w:sz w:val="16"/>
                <w:szCs w:val="16"/>
                <w:lang w:eastAsia="hr-HR"/>
              </w:rPr>
            </w:pPr>
          </w:p>
        </w:tc>
        <w:tc>
          <w:tcPr>
            <w:tcW w:w="626" w:type="dxa"/>
            <w:noWrap/>
            <w:vAlign w:val="bottom"/>
            <w:hideMark/>
          </w:tcPr>
          <w:p w14:paraId="0C6FEC2F" w14:textId="77777777" w:rsidR="000B6D3B" w:rsidRDefault="000B6D3B"/>
        </w:tc>
      </w:tr>
      <w:tr w:rsidR="000B6D3B" w14:paraId="5AB89459" w14:textId="77777777" w:rsidTr="000B6D3B">
        <w:trPr>
          <w:trHeight w:val="376"/>
        </w:trPr>
        <w:tc>
          <w:tcPr>
            <w:tcW w:w="0" w:type="auto"/>
            <w:vMerge/>
            <w:tcBorders>
              <w:top w:val="double" w:sz="6" w:space="0" w:color="969696"/>
              <w:left w:val="double" w:sz="6" w:space="0" w:color="969696"/>
              <w:bottom w:val="double" w:sz="6" w:space="0" w:color="969696"/>
              <w:right w:val="double" w:sz="6" w:space="0" w:color="969696"/>
            </w:tcBorders>
            <w:vAlign w:val="center"/>
            <w:hideMark/>
          </w:tcPr>
          <w:p w14:paraId="57CC6E56" w14:textId="77777777" w:rsidR="000B6D3B" w:rsidRDefault="000B6D3B">
            <w:pPr>
              <w:spacing w:after="0"/>
              <w:rPr>
                <w:rFonts w:ascii="Calibri" w:eastAsia="Times New Roman" w:hAnsi="Calibri" w:cs="Calibri"/>
                <w:b/>
                <w:bCs/>
                <w:sz w:val="18"/>
                <w:szCs w:val="18"/>
                <w:lang w:eastAsia="hr-HR"/>
              </w:rPr>
            </w:pPr>
          </w:p>
        </w:tc>
        <w:tc>
          <w:tcPr>
            <w:tcW w:w="891" w:type="dxa"/>
            <w:tcBorders>
              <w:top w:val="nil"/>
              <w:left w:val="nil"/>
              <w:bottom w:val="nil"/>
              <w:right w:val="single" w:sz="4" w:space="0" w:color="969696"/>
            </w:tcBorders>
            <w:noWrap/>
            <w:vAlign w:val="center"/>
            <w:hideMark/>
          </w:tcPr>
          <w:p w14:paraId="58B1AC90"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udio</w:t>
            </w:r>
          </w:p>
        </w:tc>
        <w:tc>
          <w:tcPr>
            <w:tcW w:w="1116" w:type="dxa"/>
            <w:tcBorders>
              <w:top w:val="nil"/>
              <w:left w:val="nil"/>
              <w:bottom w:val="nil"/>
              <w:right w:val="double" w:sz="6" w:space="0" w:color="969696"/>
            </w:tcBorders>
            <w:noWrap/>
            <w:vAlign w:val="center"/>
            <w:hideMark/>
          </w:tcPr>
          <w:p w14:paraId="3335E98E"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iznos</w:t>
            </w:r>
          </w:p>
        </w:tc>
        <w:tc>
          <w:tcPr>
            <w:tcW w:w="0" w:type="auto"/>
            <w:vMerge/>
            <w:tcBorders>
              <w:top w:val="double" w:sz="6" w:space="0" w:color="969696"/>
              <w:left w:val="double" w:sz="6" w:space="0" w:color="969696"/>
              <w:bottom w:val="double" w:sz="6" w:space="0" w:color="969696"/>
              <w:right w:val="nil"/>
            </w:tcBorders>
            <w:vAlign w:val="center"/>
            <w:hideMark/>
          </w:tcPr>
          <w:p w14:paraId="364DACE0" w14:textId="77777777" w:rsidR="000B6D3B" w:rsidRDefault="000B6D3B">
            <w:pPr>
              <w:spacing w:after="0"/>
              <w:rPr>
                <w:rFonts w:ascii="Calibri" w:eastAsia="Times New Roman" w:hAnsi="Calibri" w:cs="Calibri"/>
                <w:b/>
                <w:bCs/>
                <w:sz w:val="18"/>
                <w:szCs w:val="18"/>
                <w:lang w:eastAsia="hr-HR"/>
              </w:rPr>
            </w:pPr>
          </w:p>
        </w:tc>
        <w:tc>
          <w:tcPr>
            <w:tcW w:w="0" w:type="auto"/>
            <w:vMerge/>
            <w:tcBorders>
              <w:top w:val="double" w:sz="6" w:space="0" w:color="969696"/>
              <w:left w:val="double" w:sz="6" w:space="0" w:color="969696"/>
              <w:bottom w:val="double" w:sz="6" w:space="0" w:color="969696"/>
              <w:right w:val="double" w:sz="6" w:space="0" w:color="969696"/>
            </w:tcBorders>
            <w:vAlign w:val="center"/>
            <w:hideMark/>
          </w:tcPr>
          <w:p w14:paraId="5CEDE15E" w14:textId="77777777" w:rsidR="000B6D3B" w:rsidRDefault="000B6D3B">
            <w:pPr>
              <w:spacing w:after="0"/>
              <w:rPr>
                <w:rFonts w:ascii="Calibri" w:eastAsia="Times New Roman" w:hAnsi="Calibri" w:cs="Calibri"/>
                <w:b/>
                <w:bCs/>
                <w:sz w:val="18"/>
                <w:szCs w:val="18"/>
                <w:lang w:eastAsia="hr-HR"/>
              </w:rPr>
            </w:pPr>
          </w:p>
        </w:tc>
        <w:tc>
          <w:tcPr>
            <w:tcW w:w="0" w:type="auto"/>
            <w:vMerge/>
            <w:tcBorders>
              <w:top w:val="double" w:sz="6" w:space="0" w:color="969696"/>
              <w:left w:val="double" w:sz="6" w:space="0" w:color="969696"/>
              <w:bottom w:val="double" w:sz="6" w:space="0" w:color="969696"/>
              <w:right w:val="double" w:sz="6" w:space="0" w:color="969696"/>
            </w:tcBorders>
            <w:vAlign w:val="center"/>
            <w:hideMark/>
          </w:tcPr>
          <w:p w14:paraId="2CEBC4BE" w14:textId="77777777" w:rsidR="000B6D3B" w:rsidRDefault="000B6D3B">
            <w:pPr>
              <w:spacing w:after="0"/>
              <w:rPr>
                <w:rFonts w:ascii="Calibri" w:eastAsia="Times New Roman" w:hAnsi="Calibri" w:cs="Calibri"/>
                <w:b/>
                <w:bCs/>
                <w:sz w:val="18"/>
                <w:szCs w:val="18"/>
                <w:lang w:eastAsia="hr-HR"/>
              </w:rPr>
            </w:pPr>
          </w:p>
        </w:tc>
        <w:tc>
          <w:tcPr>
            <w:tcW w:w="1116" w:type="dxa"/>
            <w:tcBorders>
              <w:top w:val="nil"/>
              <w:left w:val="nil"/>
              <w:bottom w:val="nil"/>
              <w:right w:val="single" w:sz="4" w:space="0" w:color="969696"/>
            </w:tcBorders>
            <w:vAlign w:val="center"/>
            <w:hideMark/>
          </w:tcPr>
          <w:p w14:paraId="6BE76E95"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novi udjeli u kapitalu</w:t>
            </w:r>
          </w:p>
        </w:tc>
        <w:tc>
          <w:tcPr>
            <w:tcW w:w="915" w:type="dxa"/>
            <w:tcBorders>
              <w:top w:val="nil"/>
              <w:left w:val="nil"/>
              <w:bottom w:val="nil"/>
              <w:right w:val="double" w:sz="6" w:space="0" w:color="969696"/>
            </w:tcBorders>
            <w:noWrap/>
            <w:vAlign w:val="center"/>
            <w:hideMark/>
          </w:tcPr>
          <w:p w14:paraId="288A47DC"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udio</w:t>
            </w:r>
          </w:p>
        </w:tc>
        <w:tc>
          <w:tcPr>
            <w:tcW w:w="0" w:type="auto"/>
            <w:vMerge/>
            <w:tcBorders>
              <w:top w:val="double" w:sz="6" w:space="0" w:color="969696"/>
              <w:left w:val="double" w:sz="6" w:space="0" w:color="969696"/>
              <w:bottom w:val="double" w:sz="6" w:space="0" w:color="969696"/>
              <w:right w:val="double" w:sz="6" w:space="0" w:color="969696"/>
            </w:tcBorders>
            <w:vAlign w:val="center"/>
            <w:hideMark/>
          </w:tcPr>
          <w:p w14:paraId="5BF394F8" w14:textId="77777777" w:rsidR="000B6D3B" w:rsidRDefault="000B6D3B">
            <w:pPr>
              <w:spacing w:after="0"/>
              <w:rPr>
                <w:rFonts w:ascii="Calibri" w:eastAsia="Times New Roman" w:hAnsi="Calibri" w:cs="Calibri"/>
                <w:b/>
                <w:bCs/>
                <w:sz w:val="16"/>
                <w:szCs w:val="16"/>
                <w:lang w:eastAsia="hr-HR"/>
              </w:rPr>
            </w:pPr>
          </w:p>
        </w:tc>
        <w:tc>
          <w:tcPr>
            <w:tcW w:w="626" w:type="dxa"/>
            <w:vAlign w:val="center"/>
            <w:hideMark/>
          </w:tcPr>
          <w:p w14:paraId="2AA6C3F7" w14:textId="77777777" w:rsidR="000B6D3B" w:rsidRDefault="000B6D3B">
            <w:pPr>
              <w:rPr>
                <w:rFonts w:ascii="Calibri" w:eastAsia="Times New Roman" w:hAnsi="Calibri" w:cs="Calibri"/>
                <w:b/>
                <w:bCs/>
                <w:sz w:val="18"/>
                <w:szCs w:val="18"/>
                <w:lang w:eastAsia="hr-HR"/>
              </w:rPr>
            </w:pPr>
          </w:p>
        </w:tc>
      </w:tr>
      <w:tr w:rsidR="000B6D3B" w14:paraId="6467B4BB" w14:textId="77777777" w:rsidTr="000B6D3B">
        <w:trPr>
          <w:trHeight w:val="286"/>
        </w:trPr>
        <w:tc>
          <w:tcPr>
            <w:tcW w:w="1027" w:type="dxa"/>
            <w:tcBorders>
              <w:top w:val="nil"/>
              <w:left w:val="double" w:sz="6" w:space="0" w:color="969696"/>
              <w:bottom w:val="double" w:sz="6" w:space="0" w:color="969696"/>
              <w:right w:val="nil"/>
            </w:tcBorders>
            <w:noWrap/>
            <w:vAlign w:val="center"/>
            <w:hideMark/>
          </w:tcPr>
          <w:p w14:paraId="76200E51" w14:textId="77777777" w:rsidR="000B6D3B" w:rsidRDefault="000B6D3B">
            <w:pPr>
              <w:spacing w:after="0" w:line="240" w:lineRule="auto"/>
              <w:jc w:val="center"/>
              <w:rPr>
                <w:rFonts w:ascii="Calibri" w:eastAsia="Times New Roman" w:hAnsi="Calibri" w:cs="Calibri"/>
                <w:sz w:val="18"/>
                <w:szCs w:val="18"/>
                <w:lang w:eastAsia="hr-HR"/>
              </w:rPr>
            </w:pPr>
            <w:r>
              <w:rPr>
                <w:rFonts w:ascii="Calibri" w:eastAsia="Times New Roman" w:hAnsi="Calibri" w:cs="Calibri"/>
                <w:sz w:val="18"/>
                <w:szCs w:val="18"/>
                <w:lang w:eastAsia="hr-HR"/>
              </w:rPr>
              <w:t>0</w:t>
            </w:r>
          </w:p>
        </w:tc>
        <w:tc>
          <w:tcPr>
            <w:tcW w:w="891" w:type="dxa"/>
            <w:tcBorders>
              <w:top w:val="double" w:sz="6" w:space="0" w:color="969696"/>
              <w:left w:val="double" w:sz="6" w:space="0" w:color="969696"/>
              <w:bottom w:val="double" w:sz="6" w:space="0" w:color="969696"/>
              <w:right w:val="single" w:sz="4" w:space="0" w:color="969696"/>
            </w:tcBorders>
            <w:noWrap/>
            <w:vAlign w:val="center"/>
            <w:hideMark/>
          </w:tcPr>
          <w:p w14:paraId="46D24085" w14:textId="77777777" w:rsidR="000B6D3B" w:rsidRDefault="000B6D3B">
            <w:pPr>
              <w:spacing w:after="0" w:line="240" w:lineRule="auto"/>
              <w:jc w:val="center"/>
              <w:rPr>
                <w:rFonts w:ascii="Calibri" w:eastAsia="Times New Roman" w:hAnsi="Calibri" w:cs="Calibri"/>
                <w:sz w:val="18"/>
                <w:szCs w:val="18"/>
                <w:lang w:eastAsia="hr-HR"/>
              </w:rPr>
            </w:pPr>
            <w:r>
              <w:rPr>
                <w:rFonts w:ascii="Calibri" w:eastAsia="Times New Roman" w:hAnsi="Calibri" w:cs="Calibri"/>
                <w:sz w:val="18"/>
                <w:szCs w:val="18"/>
                <w:lang w:eastAsia="hr-HR"/>
              </w:rPr>
              <w:t>1</w:t>
            </w:r>
          </w:p>
        </w:tc>
        <w:tc>
          <w:tcPr>
            <w:tcW w:w="1116" w:type="dxa"/>
            <w:tcBorders>
              <w:top w:val="double" w:sz="6" w:space="0" w:color="969696"/>
              <w:left w:val="nil"/>
              <w:bottom w:val="double" w:sz="6" w:space="0" w:color="969696"/>
              <w:right w:val="double" w:sz="6" w:space="0" w:color="969696"/>
            </w:tcBorders>
            <w:noWrap/>
            <w:vAlign w:val="center"/>
            <w:hideMark/>
          </w:tcPr>
          <w:p w14:paraId="0B021B57" w14:textId="77777777" w:rsidR="000B6D3B" w:rsidRDefault="000B6D3B">
            <w:pPr>
              <w:spacing w:after="0" w:line="240" w:lineRule="auto"/>
              <w:jc w:val="center"/>
              <w:rPr>
                <w:rFonts w:ascii="Calibri" w:eastAsia="Times New Roman" w:hAnsi="Calibri" w:cs="Calibri"/>
                <w:sz w:val="18"/>
                <w:szCs w:val="18"/>
                <w:lang w:eastAsia="hr-HR"/>
              </w:rPr>
            </w:pPr>
            <w:r>
              <w:rPr>
                <w:rFonts w:ascii="Calibri" w:eastAsia="Times New Roman" w:hAnsi="Calibri" w:cs="Calibri"/>
                <w:sz w:val="18"/>
                <w:szCs w:val="18"/>
                <w:lang w:eastAsia="hr-HR"/>
              </w:rPr>
              <w:t>2</w:t>
            </w:r>
          </w:p>
        </w:tc>
        <w:tc>
          <w:tcPr>
            <w:tcW w:w="1018" w:type="dxa"/>
            <w:tcBorders>
              <w:top w:val="nil"/>
              <w:left w:val="nil"/>
              <w:bottom w:val="double" w:sz="6" w:space="0" w:color="969696"/>
              <w:right w:val="nil"/>
            </w:tcBorders>
            <w:noWrap/>
            <w:vAlign w:val="center"/>
            <w:hideMark/>
          </w:tcPr>
          <w:p w14:paraId="6ADF9718" w14:textId="77777777" w:rsidR="000B6D3B" w:rsidRDefault="000B6D3B">
            <w:pPr>
              <w:spacing w:after="0" w:line="240" w:lineRule="auto"/>
              <w:jc w:val="center"/>
              <w:rPr>
                <w:rFonts w:ascii="Calibri" w:eastAsia="Times New Roman" w:hAnsi="Calibri" w:cs="Calibri"/>
                <w:sz w:val="18"/>
                <w:szCs w:val="18"/>
                <w:lang w:eastAsia="hr-HR"/>
              </w:rPr>
            </w:pPr>
            <w:r>
              <w:rPr>
                <w:rFonts w:ascii="Calibri" w:eastAsia="Times New Roman" w:hAnsi="Calibri" w:cs="Calibri"/>
                <w:sz w:val="18"/>
                <w:szCs w:val="18"/>
                <w:lang w:eastAsia="hr-HR"/>
              </w:rPr>
              <w:t>3</w:t>
            </w:r>
          </w:p>
        </w:tc>
        <w:tc>
          <w:tcPr>
            <w:tcW w:w="1116" w:type="dxa"/>
            <w:tcBorders>
              <w:top w:val="nil"/>
              <w:left w:val="double" w:sz="6" w:space="0" w:color="969696"/>
              <w:bottom w:val="double" w:sz="6" w:space="0" w:color="969696"/>
              <w:right w:val="nil"/>
            </w:tcBorders>
            <w:noWrap/>
            <w:vAlign w:val="center"/>
            <w:hideMark/>
          </w:tcPr>
          <w:p w14:paraId="1EB4604B" w14:textId="77777777" w:rsidR="000B6D3B" w:rsidRDefault="000B6D3B">
            <w:pPr>
              <w:spacing w:after="0" w:line="240" w:lineRule="auto"/>
              <w:jc w:val="center"/>
              <w:rPr>
                <w:rFonts w:ascii="Calibri" w:eastAsia="Times New Roman" w:hAnsi="Calibri" w:cs="Calibri"/>
                <w:sz w:val="18"/>
                <w:szCs w:val="18"/>
                <w:lang w:eastAsia="hr-HR"/>
              </w:rPr>
            </w:pPr>
            <w:r>
              <w:rPr>
                <w:rFonts w:ascii="Calibri" w:eastAsia="Times New Roman" w:hAnsi="Calibri" w:cs="Calibri"/>
                <w:sz w:val="18"/>
                <w:szCs w:val="18"/>
                <w:lang w:eastAsia="hr-HR"/>
              </w:rPr>
              <w:t>4=2+3</w:t>
            </w:r>
          </w:p>
        </w:tc>
        <w:tc>
          <w:tcPr>
            <w:tcW w:w="1026" w:type="dxa"/>
            <w:tcBorders>
              <w:top w:val="nil"/>
              <w:left w:val="double" w:sz="6" w:space="0" w:color="969696"/>
              <w:bottom w:val="double" w:sz="6" w:space="0" w:color="969696"/>
              <w:right w:val="double" w:sz="6" w:space="0" w:color="969696"/>
            </w:tcBorders>
            <w:noWrap/>
            <w:vAlign w:val="center"/>
            <w:hideMark/>
          </w:tcPr>
          <w:p w14:paraId="08DED85E" w14:textId="77777777" w:rsidR="000B6D3B" w:rsidRDefault="000B6D3B">
            <w:pPr>
              <w:spacing w:after="0" w:line="240" w:lineRule="auto"/>
              <w:jc w:val="center"/>
              <w:rPr>
                <w:rFonts w:ascii="Calibri" w:eastAsia="Times New Roman" w:hAnsi="Calibri" w:cs="Calibri"/>
                <w:sz w:val="18"/>
                <w:szCs w:val="18"/>
                <w:lang w:eastAsia="hr-HR"/>
              </w:rPr>
            </w:pPr>
            <w:r>
              <w:rPr>
                <w:rFonts w:ascii="Calibri" w:eastAsia="Times New Roman" w:hAnsi="Calibri" w:cs="Calibri"/>
                <w:sz w:val="18"/>
                <w:szCs w:val="18"/>
                <w:lang w:eastAsia="hr-HR"/>
              </w:rPr>
              <w:t>5</w:t>
            </w:r>
          </w:p>
        </w:tc>
        <w:tc>
          <w:tcPr>
            <w:tcW w:w="1116" w:type="dxa"/>
            <w:tcBorders>
              <w:top w:val="double" w:sz="6" w:space="0" w:color="969696"/>
              <w:left w:val="nil"/>
              <w:bottom w:val="double" w:sz="6" w:space="0" w:color="969696"/>
              <w:right w:val="single" w:sz="4" w:space="0" w:color="969696"/>
            </w:tcBorders>
            <w:noWrap/>
            <w:vAlign w:val="center"/>
            <w:hideMark/>
          </w:tcPr>
          <w:p w14:paraId="681F4DAF" w14:textId="77777777" w:rsidR="000B6D3B" w:rsidRDefault="000B6D3B">
            <w:pPr>
              <w:spacing w:after="0" w:line="240" w:lineRule="auto"/>
              <w:jc w:val="center"/>
              <w:rPr>
                <w:rFonts w:ascii="Calibri" w:eastAsia="Times New Roman" w:hAnsi="Calibri" w:cs="Calibri"/>
                <w:sz w:val="18"/>
                <w:szCs w:val="18"/>
                <w:lang w:eastAsia="hr-HR"/>
              </w:rPr>
            </w:pPr>
            <w:r>
              <w:rPr>
                <w:rFonts w:ascii="Calibri" w:eastAsia="Times New Roman" w:hAnsi="Calibri" w:cs="Calibri"/>
                <w:sz w:val="18"/>
                <w:szCs w:val="18"/>
                <w:lang w:eastAsia="hr-HR"/>
              </w:rPr>
              <w:t>6=4+5</w:t>
            </w:r>
          </w:p>
        </w:tc>
        <w:tc>
          <w:tcPr>
            <w:tcW w:w="915" w:type="dxa"/>
            <w:tcBorders>
              <w:top w:val="double" w:sz="6" w:space="0" w:color="969696"/>
              <w:left w:val="nil"/>
              <w:bottom w:val="double" w:sz="6" w:space="0" w:color="969696"/>
              <w:right w:val="double" w:sz="6" w:space="0" w:color="969696"/>
            </w:tcBorders>
            <w:noWrap/>
            <w:vAlign w:val="center"/>
            <w:hideMark/>
          </w:tcPr>
          <w:p w14:paraId="13F433FA" w14:textId="77777777" w:rsidR="000B6D3B" w:rsidRDefault="000B6D3B">
            <w:pPr>
              <w:spacing w:after="0" w:line="240" w:lineRule="auto"/>
              <w:jc w:val="center"/>
              <w:rPr>
                <w:rFonts w:ascii="Calibri" w:eastAsia="Times New Roman" w:hAnsi="Calibri" w:cs="Calibri"/>
                <w:sz w:val="18"/>
                <w:szCs w:val="18"/>
                <w:lang w:eastAsia="hr-HR"/>
              </w:rPr>
            </w:pPr>
            <w:r>
              <w:rPr>
                <w:rFonts w:ascii="Calibri" w:eastAsia="Times New Roman" w:hAnsi="Calibri" w:cs="Calibri"/>
                <w:sz w:val="18"/>
                <w:szCs w:val="18"/>
                <w:lang w:eastAsia="hr-HR"/>
              </w:rPr>
              <w:t>7</w:t>
            </w:r>
          </w:p>
        </w:tc>
        <w:tc>
          <w:tcPr>
            <w:tcW w:w="883" w:type="dxa"/>
            <w:tcBorders>
              <w:top w:val="nil"/>
              <w:left w:val="nil"/>
              <w:bottom w:val="double" w:sz="6" w:space="0" w:color="969696"/>
              <w:right w:val="double" w:sz="6" w:space="0" w:color="969696"/>
            </w:tcBorders>
            <w:noWrap/>
            <w:vAlign w:val="center"/>
            <w:hideMark/>
          </w:tcPr>
          <w:p w14:paraId="1A7ACBE6" w14:textId="77777777" w:rsidR="000B6D3B" w:rsidRDefault="000B6D3B">
            <w:pPr>
              <w:spacing w:after="0" w:line="240" w:lineRule="auto"/>
              <w:jc w:val="center"/>
              <w:rPr>
                <w:rFonts w:ascii="Calibri" w:eastAsia="Times New Roman" w:hAnsi="Calibri" w:cs="Calibri"/>
                <w:sz w:val="18"/>
                <w:szCs w:val="18"/>
                <w:lang w:eastAsia="hr-HR"/>
              </w:rPr>
            </w:pPr>
            <w:r>
              <w:rPr>
                <w:rFonts w:ascii="Calibri" w:eastAsia="Times New Roman" w:hAnsi="Calibri" w:cs="Calibri"/>
                <w:sz w:val="18"/>
                <w:szCs w:val="18"/>
                <w:lang w:eastAsia="hr-HR"/>
              </w:rPr>
              <w:t>8</w:t>
            </w:r>
          </w:p>
        </w:tc>
        <w:tc>
          <w:tcPr>
            <w:tcW w:w="626" w:type="dxa"/>
            <w:vAlign w:val="center"/>
            <w:hideMark/>
          </w:tcPr>
          <w:p w14:paraId="73ECF45E" w14:textId="77777777" w:rsidR="000B6D3B" w:rsidRDefault="000B6D3B">
            <w:pPr>
              <w:rPr>
                <w:rFonts w:ascii="Calibri" w:eastAsia="Times New Roman" w:hAnsi="Calibri" w:cs="Calibri"/>
                <w:sz w:val="18"/>
                <w:szCs w:val="18"/>
                <w:lang w:eastAsia="hr-HR"/>
              </w:rPr>
            </w:pPr>
          </w:p>
        </w:tc>
      </w:tr>
      <w:tr w:rsidR="000B6D3B" w14:paraId="240C0929" w14:textId="77777777" w:rsidTr="000B6D3B">
        <w:trPr>
          <w:trHeight w:val="440"/>
        </w:trPr>
        <w:tc>
          <w:tcPr>
            <w:tcW w:w="1027" w:type="dxa"/>
            <w:tcBorders>
              <w:top w:val="nil"/>
              <w:left w:val="double" w:sz="6" w:space="0" w:color="969696"/>
              <w:bottom w:val="dotted" w:sz="4" w:space="0" w:color="969696"/>
              <w:right w:val="nil"/>
            </w:tcBorders>
            <w:noWrap/>
            <w:vAlign w:val="center"/>
            <w:hideMark/>
          </w:tcPr>
          <w:p w14:paraId="798D4A10" w14:textId="77777777" w:rsidR="000B6D3B" w:rsidRDefault="000B6D3B">
            <w:pPr>
              <w:spacing w:after="0" w:line="240" w:lineRule="auto"/>
              <w:rPr>
                <w:rFonts w:ascii="Calibri" w:eastAsia="Times New Roman" w:hAnsi="Calibri" w:cs="Calibri"/>
                <w:b/>
                <w:bCs/>
                <w:sz w:val="18"/>
                <w:szCs w:val="18"/>
                <w:lang w:eastAsia="hr-HR"/>
              </w:rPr>
            </w:pPr>
            <w:r>
              <w:rPr>
                <w:rFonts w:ascii="Calibri" w:eastAsia="Times New Roman" w:hAnsi="Calibri" w:cs="Calibri"/>
                <w:b/>
                <w:bCs/>
                <w:sz w:val="18"/>
                <w:szCs w:val="18"/>
                <w:lang w:eastAsia="hr-HR"/>
              </w:rPr>
              <w:t>Općina Omišalj</w:t>
            </w:r>
          </w:p>
        </w:tc>
        <w:tc>
          <w:tcPr>
            <w:tcW w:w="891" w:type="dxa"/>
            <w:tcBorders>
              <w:top w:val="nil"/>
              <w:left w:val="double" w:sz="6" w:space="0" w:color="969696"/>
              <w:bottom w:val="dotted" w:sz="4" w:space="0" w:color="969696"/>
              <w:right w:val="single" w:sz="4" w:space="0" w:color="969696"/>
            </w:tcBorders>
            <w:noWrap/>
            <w:vAlign w:val="center"/>
            <w:hideMark/>
          </w:tcPr>
          <w:p w14:paraId="3C5F49BD"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16,09%</w:t>
            </w:r>
          </w:p>
        </w:tc>
        <w:tc>
          <w:tcPr>
            <w:tcW w:w="1116" w:type="dxa"/>
            <w:tcBorders>
              <w:top w:val="nil"/>
              <w:left w:val="nil"/>
              <w:bottom w:val="dotted" w:sz="4" w:space="0" w:color="969696"/>
              <w:right w:val="double" w:sz="6" w:space="0" w:color="969696"/>
            </w:tcBorders>
            <w:noWrap/>
            <w:vAlign w:val="center"/>
            <w:hideMark/>
          </w:tcPr>
          <w:p w14:paraId="2E9CB04D"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51.865.900</w:t>
            </w:r>
          </w:p>
        </w:tc>
        <w:tc>
          <w:tcPr>
            <w:tcW w:w="1018" w:type="dxa"/>
            <w:tcBorders>
              <w:top w:val="nil"/>
              <w:left w:val="nil"/>
              <w:bottom w:val="dotted" w:sz="4" w:space="0" w:color="969696"/>
              <w:right w:val="nil"/>
            </w:tcBorders>
            <w:noWrap/>
            <w:vAlign w:val="center"/>
            <w:hideMark/>
          </w:tcPr>
          <w:p w14:paraId="4C244F3E"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 </w:t>
            </w:r>
          </w:p>
        </w:tc>
        <w:tc>
          <w:tcPr>
            <w:tcW w:w="1116" w:type="dxa"/>
            <w:tcBorders>
              <w:top w:val="nil"/>
              <w:left w:val="double" w:sz="6" w:space="0" w:color="969696"/>
              <w:bottom w:val="dotted" w:sz="4" w:space="0" w:color="969696"/>
              <w:right w:val="nil"/>
            </w:tcBorders>
            <w:noWrap/>
            <w:vAlign w:val="center"/>
            <w:hideMark/>
          </w:tcPr>
          <w:p w14:paraId="2800CC20"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51.865.900</w:t>
            </w:r>
          </w:p>
        </w:tc>
        <w:tc>
          <w:tcPr>
            <w:tcW w:w="1026" w:type="dxa"/>
            <w:tcBorders>
              <w:top w:val="nil"/>
              <w:left w:val="double" w:sz="6" w:space="0" w:color="969696"/>
              <w:bottom w:val="dotted" w:sz="4" w:space="0" w:color="969696"/>
              <w:right w:val="double" w:sz="6" w:space="0" w:color="969696"/>
            </w:tcBorders>
            <w:noWrap/>
            <w:vAlign w:val="center"/>
            <w:hideMark/>
          </w:tcPr>
          <w:p w14:paraId="41A3AFDB"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3.332.100</w:t>
            </w:r>
          </w:p>
        </w:tc>
        <w:tc>
          <w:tcPr>
            <w:tcW w:w="1116" w:type="dxa"/>
            <w:tcBorders>
              <w:top w:val="nil"/>
              <w:left w:val="nil"/>
              <w:bottom w:val="dotted" w:sz="4" w:space="0" w:color="969696"/>
              <w:right w:val="single" w:sz="4" w:space="0" w:color="969696"/>
            </w:tcBorders>
            <w:noWrap/>
            <w:vAlign w:val="center"/>
            <w:hideMark/>
          </w:tcPr>
          <w:p w14:paraId="3F9E424B"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55.198.000</w:t>
            </w:r>
          </w:p>
        </w:tc>
        <w:tc>
          <w:tcPr>
            <w:tcW w:w="915" w:type="dxa"/>
            <w:tcBorders>
              <w:top w:val="nil"/>
              <w:left w:val="nil"/>
              <w:bottom w:val="dotted" w:sz="4" w:space="0" w:color="969696"/>
              <w:right w:val="double" w:sz="6" w:space="0" w:color="969696"/>
            </w:tcBorders>
            <w:noWrap/>
            <w:vAlign w:val="center"/>
            <w:hideMark/>
          </w:tcPr>
          <w:p w14:paraId="35621A01"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14,59%</w:t>
            </w:r>
          </w:p>
        </w:tc>
        <w:tc>
          <w:tcPr>
            <w:tcW w:w="883" w:type="dxa"/>
            <w:tcBorders>
              <w:top w:val="nil"/>
              <w:left w:val="nil"/>
              <w:bottom w:val="dotted" w:sz="4" w:space="0" w:color="969696"/>
              <w:right w:val="double" w:sz="6" w:space="0" w:color="969696"/>
            </w:tcBorders>
            <w:noWrap/>
            <w:vAlign w:val="center"/>
            <w:hideMark/>
          </w:tcPr>
          <w:p w14:paraId="0F8C5B47"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-1,50%</w:t>
            </w:r>
          </w:p>
        </w:tc>
        <w:tc>
          <w:tcPr>
            <w:tcW w:w="626" w:type="dxa"/>
            <w:vAlign w:val="center"/>
            <w:hideMark/>
          </w:tcPr>
          <w:p w14:paraId="16966E24" w14:textId="77777777" w:rsidR="000B6D3B" w:rsidRDefault="000B6D3B">
            <w:pPr>
              <w:rPr>
                <w:rFonts w:ascii="Calibri" w:eastAsia="Times New Roman" w:hAnsi="Calibri" w:cs="Calibri"/>
                <w:b/>
                <w:bCs/>
                <w:sz w:val="18"/>
                <w:szCs w:val="18"/>
                <w:lang w:eastAsia="hr-HR"/>
              </w:rPr>
            </w:pPr>
          </w:p>
        </w:tc>
      </w:tr>
      <w:tr w:rsidR="000B6D3B" w14:paraId="3CD94BA1" w14:textId="77777777" w:rsidTr="000B6D3B">
        <w:trPr>
          <w:trHeight w:val="617"/>
        </w:trPr>
        <w:tc>
          <w:tcPr>
            <w:tcW w:w="1027" w:type="dxa"/>
            <w:tcBorders>
              <w:top w:val="nil"/>
              <w:left w:val="double" w:sz="6" w:space="0" w:color="969696"/>
              <w:bottom w:val="dotted" w:sz="4" w:space="0" w:color="969696"/>
              <w:right w:val="nil"/>
            </w:tcBorders>
            <w:vAlign w:val="center"/>
            <w:hideMark/>
          </w:tcPr>
          <w:p w14:paraId="7CC83891" w14:textId="77777777" w:rsidR="000B6D3B" w:rsidRDefault="000B6D3B">
            <w:pPr>
              <w:spacing w:after="0" w:line="240" w:lineRule="auto"/>
              <w:rPr>
                <w:rFonts w:ascii="Calibri" w:eastAsia="Times New Roman" w:hAnsi="Calibri" w:cs="Calibri"/>
                <w:b/>
                <w:bCs/>
                <w:sz w:val="18"/>
                <w:szCs w:val="18"/>
                <w:lang w:eastAsia="hr-HR"/>
              </w:rPr>
            </w:pPr>
            <w:r>
              <w:rPr>
                <w:rFonts w:ascii="Calibri" w:eastAsia="Times New Roman" w:hAnsi="Calibri" w:cs="Calibri"/>
                <w:b/>
                <w:bCs/>
                <w:sz w:val="18"/>
                <w:szCs w:val="18"/>
                <w:lang w:eastAsia="hr-HR"/>
              </w:rPr>
              <w:t>Općina Malinska-Dubašnica</w:t>
            </w:r>
          </w:p>
        </w:tc>
        <w:tc>
          <w:tcPr>
            <w:tcW w:w="891" w:type="dxa"/>
            <w:tcBorders>
              <w:top w:val="nil"/>
              <w:left w:val="double" w:sz="6" w:space="0" w:color="969696"/>
              <w:bottom w:val="dotted" w:sz="4" w:space="0" w:color="969696"/>
              <w:right w:val="single" w:sz="4" w:space="0" w:color="969696"/>
            </w:tcBorders>
            <w:noWrap/>
            <w:vAlign w:val="center"/>
            <w:hideMark/>
          </w:tcPr>
          <w:p w14:paraId="282F083D"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17,81%</w:t>
            </w:r>
          </w:p>
        </w:tc>
        <w:tc>
          <w:tcPr>
            <w:tcW w:w="1116" w:type="dxa"/>
            <w:tcBorders>
              <w:top w:val="nil"/>
              <w:left w:val="nil"/>
              <w:bottom w:val="dotted" w:sz="4" w:space="0" w:color="969696"/>
              <w:right w:val="double" w:sz="6" w:space="0" w:color="969696"/>
            </w:tcBorders>
            <w:noWrap/>
            <w:vAlign w:val="center"/>
            <w:hideMark/>
          </w:tcPr>
          <w:p w14:paraId="2F5BE5DA"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57.424.000</w:t>
            </w:r>
          </w:p>
        </w:tc>
        <w:tc>
          <w:tcPr>
            <w:tcW w:w="1018" w:type="dxa"/>
            <w:tcBorders>
              <w:top w:val="nil"/>
              <w:left w:val="nil"/>
              <w:bottom w:val="dotted" w:sz="4" w:space="0" w:color="969696"/>
              <w:right w:val="nil"/>
            </w:tcBorders>
            <w:noWrap/>
            <w:vAlign w:val="center"/>
            <w:hideMark/>
          </w:tcPr>
          <w:p w14:paraId="738D9FED"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 </w:t>
            </w:r>
          </w:p>
        </w:tc>
        <w:tc>
          <w:tcPr>
            <w:tcW w:w="1116" w:type="dxa"/>
            <w:tcBorders>
              <w:top w:val="nil"/>
              <w:left w:val="double" w:sz="6" w:space="0" w:color="969696"/>
              <w:bottom w:val="dotted" w:sz="4" w:space="0" w:color="969696"/>
              <w:right w:val="nil"/>
            </w:tcBorders>
            <w:noWrap/>
            <w:vAlign w:val="center"/>
            <w:hideMark/>
          </w:tcPr>
          <w:p w14:paraId="1B3D4F18"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57.424.000</w:t>
            </w:r>
          </w:p>
        </w:tc>
        <w:tc>
          <w:tcPr>
            <w:tcW w:w="1026" w:type="dxa"/>
            <w:tcBorders>
              <w:top w:val="nil"/>
              <w:left w:val="double" w:sz="6" w:space="0" w:color="969696"/>
              <w:bottom w:val="dotted" w:sz="4" w:space="0" w:color="969696"/>
              <w:right w:val="double" w:sz="6" w:space="0" w:color="969696"/>
            </w:tcBorders>
            <w:noWrap/>
            <w:vAlign w:val="center"/>
            <w:hideMark/>
          </w:tcPr>
          <w:p w14:paraId="1A101946"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7.599.500</w:t>
            </w:r>
          </w:p>
        </w:tc>
        <w:tc>
          <w:tcPr>
            <w:tcW w:w="1116" w:type="dxa"/>
            <w:tcBorders>
              <w:top w:val="nil"/>
              <w:left w:val="nil"/>
              <w:bottom w:val="dotted" w:sz="4" w:space="0" w:color="969696"/>
              <w:right w:val="single" w:sz="4" w:space="0" w:color="969696"/>
            </w:tcBorders>
            <w:noWrap/>
            <w:vAlign w:val="center"/>
            <w:hideMark/>
          </w:tcPr>
          <w:p w14:paraId="76A645D4"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65.023.500</w:t>
            </w:r>
          </w:p>
        </w:tc>
        <w:tc>
          <w:tcPr>
            <w:tcW w:w="915" w:type="dxa"/>
            <w:tcBorders>
              <w:top w:val="nil"/>
              <w:left w:val="nil"/>
              <w:bottom w:val="dotted" w:sz="4" w:space="0" w:color="969696"/>
              <w:right w:val="double" w:sz="6" w:space="0" w:color="969696"/>
            </w:tcBorders>
            <w:noWrap/>
            <w:vAlign w:val="center"/>
            <w:hideMark/>
          </w:tcPr>
          <w:p w14:paraId="63D1C715"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17,18%</w:t>
            </w:r>
          </w:p>
        </w:tc>
        <w:tc>
          <w:tcPr>
            <w:tcW w:w="883" w:type="dxa"/>
            <w:tcBorders>
              <w:top w:val="nil"/>
              <w:left w:val="nil"/>
              <w:bottom w:val="dotted" w:sz="4" w:space="0" w:color="969696"/>
              <w:right w:val="double" w:sz="6" w:space="0" w:color="969696"/>
            </w:tcBorders>
            <w:noWrap/>
            <w:vAlign w:val="center"/>
            <w:hideMark/>
          </w:tcPr>
          <w:p w14:paraId="01CF4E38"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-0,63%</w:t>
            </w:r>
          </w:p>
        </w:tc>
        <w:tc>
          <w:tcPr>
            <w:tcW w:w="626" w:type="dxa"/>
            <w:vAlign w:val="center"/>
            <w:hideMark/>
          </w:tcPr>
          <w:p w14:paraId="08F868CE" w14:textId="77777777" w:rsidR="000B6D3B" w:rsidRDefault="000B6D3B">
            <w:pPr>
              <w:rPr>
                <w:rFonts w:ascii="Calibri" w:eastAsia="Times New Roman" w:hAnsi="Calibri" w:cs="Calibri"/>
                <w:b/>
                <w:bCs/>
                <w:sz w:val="18"/>
                <w:szCs w:val="18"/>
                <w:lang w:eastAsia="hr-HR"/>
              </w:rPr>
            </w:pPr>
          </w:p>
        </w:tc>
      </w:tr>
      <w:tr w:rsidR="000B6D3B" w14:paraId="692B73CF" w14:textId="77777777" w:rsidTr="000B6D3B">
        <w:trPr>
          <w:trHeight w:val="349"/>
        </w:trPr>
        <w:tc>
          <w:tcPr>
            <w:tcW w:w="1027" w:type="dxa"/>
            <w:tcBorders>
              <w:top w:val="nil"/>
              <w:left w:val="double" w:sz="6" w:space="0" w:color="969696"/>
              <w:bottom w:val="dotted" w:sz="4" w:space="0" w:color="969696"/>
              <w:right w:val="nil"/>
            </w:tcBorders>
            <w:noWrap/>
            <w:vAlign w:val="center"/>
            <w:hideMark/>
          </w:tcPr>
          <w:p w14:paraId="77373113" w14:textId="77777777" w:rsidR="000B6D3B" w:rsidRDefault="000B6D3B">
            <w:pPr>
              <w:spacing w:after="0" w:line="240" w:lineRule="auto"/>
              <w:rPr>
                <w:rFonts w:ascii="Calibri" w:eastAsia="Times New Roman" w:hAnsi="Calibri" w:cs="Calibri"/>
                <w:b/>
                <w:bCs/>
                <w:sz w:val="18"/>
                <w:szCs w:val="18"/>
                <w:lang w:eastAsia="hr-HR"/>
              </w:rPr>
            </w:pPr>
            <w:r>
              <w:rPr>
                <w:rFonts w:ascii="Calibri" w:eastAsia="Times New Roman" w:hAnsi="Calibri" w:cs="Calibri"/>
                <w:b/>
                <w:bCs/>
                <w:sz w:val="18"/>
                <w:szCs w:val="18"/>
                <w:lang w:eastAsia="hr-HR"/>
              </w:rPr>
              <w:t>Grad Krk</w:t>
            </w:r>
          </w:p>
        </w:tc>
        <w:tc>
          <w:tcPr>
            <w:tcW w:w="891" w:type="dxa"/>
            <w:tcBorders>
              <w:top w:val="nil"/>
              <w:left w:val="double" w:sz="6" w:space="0" w:color="969696"/>
              <w:bottom w:val="dotted" w:sz="4" w:space="0" w:color="969696"/>
              <w:right w:val="single" w:sz="4" w:space="0" w:color="969696"/>
            </w:tcBorders>
            <w:noWrap/>
            <w:vAlign w:val="center"/>
            <w:hideMark/>
          </w:tcPr>
          <w:p w14:paraId="1B628F67"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23,36%</w:t>
            </w:r>
          </w:p>
        </w:tc>
        <w:tc>
          <w:tcPr>
            <w:tcW w:w="1116" w:type="dxa"/>
            <w:tcBorders>
              <w:top w:val="nil"/>
              <w:left w:val="nil"/>
              <w:bottom w:val="dotted" w:sz="4" w:space="0" w:color="969696"/>
              <w:right w:val="double" w:sz="6" w:space="0" w:color="969696"/>
            </w:tcBorders>
            <w:noWrap/>
            <w:vAlign w:val="center"/>
            <w:hideMark/>
          </w:tcPr>
          <w:p w14:paraId="2F2432AB"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75.311.100</w:t>
            </w:r>
          </w:p>
        </w:tc>
        <w:tc>
          <w:tcPr>
            <w:tcW w:w="1018" w:type="dxa"/>
            <w:tcBorders>
              <w:top w:val="nil"/>
              <w:left w:val="nil"/>
              <w:bottom w:val="dotted" w:sz="4" w:space="0" w:color="969696"/>
              <w:right w:val="nil"/>
            </w:tcBorders>
            <w:noWrap/>
            <w:vAlign w:val="center"/>
            <w:hideMark/>
          </w:tcPr>
          <w:p w14:paraId="1AB89234"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740.800</w:t>
            </w:r>
          </w:p>
        </w:tc>
        <w:tc>
          <w:tcPr>
            <w:tcW w:w="1116" w:type="dxa"/>
            <w:tcBorders>
              <w:top w:val="nil"/>
              <w:left w:val="double" w:sz="6" w:space="0" w:color="969696"/>
              <w:bottom w:val="dotted" w:sz="4" w:space="0" w:color="969696"/>
              <w:right w:val="nil"/>
            </w:tcBorders>
            <w:noWrap/>
            <w:vAlign w:val="center"/>
            <w:hideMark/>
          </w:tcPr>
          <w:p w14:paraId="35CDA4B1"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76.051.900</w:t>
            </w:r>
          </w:p>
        </w:tc>
        <w:tc>
          <w:tcPr>
            <w:tcW w:w="1026" w:type="dxa"/>
            <w:tcBorders>
              <w:top w:val="nil"/>
              <w:left w:val="double" w:sz="6" w:space="0" w:color="969696"/>
              <w:bottom w:val="dotted" w:sz="4" w:space="0" w:color="969696"/>
              <w:right w:val="double" w:sz="6" w:space="0" w:color="969696"/>
            </w:tcBorders>
            <w:noWrap/>
            <w:vAlign w:val="center"/>
            <w:hideMark/>
          </w:tcPr>
          <w:p w14:paraId="2D33DEF0"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18.416.500</w:t>
            </w:r>
          </w:p>
        </w:tc>
        <w:tc>
          <w:tcPr>
            <w:tcW w:w="1116" w:type="dxa"/>
            <w:tcBorders>
              <w:top w:val="nil"/>
              <w:left w:val="nil"/>
              <w:bottom w:val="dotted" w:sz="4" w:space="0" w:color="969696"/>
              <w:right w:val="single" w:sz="4" w:space="0" w:color="969696"/>
            </w:tcBorders>
            <w:noWrap/>
            <w:vAlign w:val="center"/>
            <w:hideMark/>
          </w:tcPr>
          <w:p w14:paraId="39FC5F5A"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94.468.400</w:t>
            </w:r>
          </w:p>
        </w:tc>
        <w:tc>
          <w:tcPr>
            <w:tcW w:w="915" w:type="dxa"/>
            <w:tcBorders>
              <w:top w:val="nil"/>
              <w:left w:val="nil"/>
              <w:bottom w:val="dotted" w:sz="4" w:space="0" w:color="969696"/>
              <w:right w:val="double" w:sz="6" w:space="0" w:color="969696"/>
            </w:tcBorders>
            <w:noWrap/>
            <w:vAlign w:val="center"/>
            <w:hideMark/>
          </w:tcPr>
          <w:p w14:paraId="21E2C215"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24,96%</w:t>
            </w:r>
          </w:p>
        </w:tc>
        <w:tc>
          <w:tcPr>
            <w:tcW w:w="883" w:type="dxa"/>
            <w:tcBorders>
              <w:top w:val="nil"/>
              <w:left w:val="nil"/>
              <w:bottom w:val="dotted" w:sz="4" w:space="0" w:color="969696"/>
              <w:right w:val="double" w:sz="6" w:space="0" w:color="969696"/>
            </w:tcBorders>
            <w:noWrap/>
            <w:vAlign w:val="center"/>
            <w:hideMark/>
          </w:tcPr>
          <w:p w14:paraId="133C76EC"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1,60%</w:t>
            </w:r>
          </w:p>
        </w:tc>
        <w:tc>
          <w:tcPr>
            <w:tcW w:w="626" w:type="dxa"/>
            <w:vAlign w:val="center"/>
            <w:hideMark/>
          </w:tcPr>
          <w:p w14:paraId="11AB06AA" w14:textId="77777777" w:rsidR="000B6D3B" w:rsidRDefault="000B6D3B">
            <w:pPr>
              <w:rPr>
                <w:rFonts w:ascii="Calibri" w:eastAsia="Times New Roman" w:hAnsi="Calibri" w:cs="Calibri"/>
                <w:b/>
                <w:bCs/>
                <w:sz w:val="18"/>
                <w:szCs w:val="18"/>
                <w:lang w:eastAsia="hr-HR"/>
              </w:rPr>
            </w:pPr>
          </w:p>
        </w:tc>
      </w:tr>
      <w:tr w:rsidR="000B6D3B" w14:paraId="037FA765" w14:textId="77777777" w:rsidTr="000B6D3B">
        <w:trPr>
          <w:trHeight w:val="412"/>
        </w:trPr>
        <w:tc>
          <w:tcPr>
            <w:tcW w:w="1027" w:type="dxa"/>
            <w:tcBorders>
              <w:top w:val="nil"/>
              <w:left w:val="double" w:sz="6" w:space="0" w:color="969696"/>
              <w:bottom w:val="dotted" w:sz="4" w:space="0" w:color="969696"/>
              <w:right w:val="nil"/>
            </w:tcBorders>
            <w:noWrap/>
            <w:vAlign w:val="center"/>
            <w:hideMark/>
          </w:tcPr>
          <w:p w14:paraId="4306B40D" w14:textId="77777777" w:rsidR="000B6D3B" w:rsidRDefault="000B6D3B">
            <w:pPr>
              <w:spacing w:after="0" w:line="240" w:lineRule="auto"/>
              <w:rPr>
                <w:rFonts w:ascii="Calibri" w:eastAsia="Times New Roman" w:hAnsi="Calibri" w:cs="Calibri"/>
                <w:b/>
                <w:bCs/>
                <w:sz w:val="18"/>
                <w:szCs w:val="18"/>
                <w:lang w:eastAsia="hr-HR"/>
              </w:rPr>
            </w:pPr>
            <w:r>
              <w:rPr>
                <w:rFonts w:ascii="Calibri" w:eastAsia="Times New Roman" w:hAnsi="Calibri" w:cs="Calibri"/>
                <w:b/>
                <w:bCs/>
                <w:sz w:val="18"/>
                <w:szCs w:val="18"/>
                <w:lang w:eastAsia="hr-HR"/>
              </w:rPr>
              <w:t>Općina Punat</w:t>
            </w:r>
          </w:p>
        </w:tc>
        <w:tc>
          <w:tcPr>
            <w:tcW w:w="891" w:type="dxa"/>
            <w:tcBorders>
              <w:top w:val="nil"/>
              <w:left w:val="double" w:sz="6" w:space="0" w:color="969696"/>
              <w:bottom w:val="dotted" w:sz="4" w:space="0" w:color="969696"/>
              <w:right w:val="single" w:sz="4" w:space="0" w:color="969696"/>
            </w:tcBorders>
            <w:noWrap/>
            <w:vAlign w:val="center"/>
            <w:hideMark/>
          </w:tcPr>
          <w:p w14:paraId="7336271E"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10,55%</w:t>
            </w:r>
          </w:p>
        </w:tc>
        <w:tc>
          <w:tcPr>
            <w:tcW w:w="1116" w:type="dxa"/>
            <w:tcBorders>
              <w:top w:val="nil"/>
              <w:left w:val="nil"/>
              <w:bottom w:val="dotted" w:sz="4" w:space="0" w:color="969696"/>
              <w:right w:val="double" w:sz="6" w:space="0" w:color="969696"/>
            </w:tcBorders>
            <w:noWrap/>
            <w:vAlign w:val="center"/>
            <w:hideMark/>
          </w:tcPr>
          <w:p w14:paraId="7F87A647"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34.031.200</w:t>
            </w:r>
          </w:p>
        </w:tc>
        <w:tc>
          <w:tcPr>
            <w:tcW w:w="1018" w:type="dxa"/>
            <w:tcBorders>
              <w:top w:val="nil"/>
              <w:left w:val="nil"/>
              <w:bottom w:val="dotted" w:sz="4" w:space="0" w:color="969696"/>
              <w:right w:val="nil"/>
            </w:tcBorders>
            <w:noWrap/>
            <w:vAlign w:val="center"/>
            <w:hideMark/>
          </w:tcPr>
          <w:p w14:paraId="1202DFB7"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-740.800</w:t>
            </w:r>
          </w:p>
        </w:tc>
        <w:tc>
          <w:tcPr>
            <w:tcW w:w="1116" w:type="dxa"/>
            <w:tcBorders>
              <w:top w:val="nil"/>
              <w:left w:val="double" w:sz="6" w:space="0" w:color="969696"/>
              <w:bottom w:val="dotted" w:sz="4" w:space="0" w:color="969696"/>
              <w:right w:val="nil"/>
            </w:tcBorders>
            <w:noWrap/>
            <w:vAlign w:val="center"/>
            <w:hideMark/>
          </w:tcPr>
          <w:p w14:paraId="134D34F1"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33.290.400</w:t>
            </w:r>
          </w:p>
        </w:tc>
        <w:tc>
          <w:tcPr>
            <w:tcW w:w="1026" w:type="dxa"/>
            <w:tcBorders>
              <w:top w:val="nil"/>
              <w:left w:val="double" w:sz="6" w:space="0" w:color="969696"/>
              <w:bottom w:val="dotted" w:sz="4" w:space="0" w:color="969696"/>
              <w:right w:val="double" w:sz="6" w:space="0" w:color="969696"/>
            </w:tcBorders>
            <w:noWrap/>
            <w:vAlign w:val="center"/>
            <w:hideMark/>
          </w:tcPr>
          <w:p w14:paraId="13F4C3A4"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6.108.100</w:t>
            </w:r>
          </w:p>
        </w:tc>
        <w:tc>
          <w:tcPr>
            <w:tcW w:w="1116" w:type="dxa"/>
            <w:tcBorders>
              <w:top w:val="nil"/>
              <w:left w:val="nil"/>
              <w:bottom w:val="dotted" w:sz="4" w:space="0" w:color="969696"/>
              <w:right w:val="single" w:sz="4" w:space="0" w:color="969696"/>
            </w:tcBorders>
            <w:noWrap/>
            <w:vAlign w:val="center"/>
            <w:hideMark/>
          </w:tcPr>
          <w:p w14:paraId="300225FF"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39.398.500</w:t>
            </w:r>
          </w:p>
        </w:tc>
        <w:tc>
          <w:tcPr>
            <w:tcW w:w="915" w:type="dxa"/>
            <w:tcBorders>
              <w:top w:val="nil"/>
              <w:left w:val="nil"/>
              <w:bottom w:val="dotted" w:sz="4" w:space="0" w:color="969696"/>
              <w:right w:val="double" w:sz="6" w:space="0" w:color="969696"/>
            </w:tcBorders>
            <w:noWrap/>
            <w:vAlign w:val="center"/>
            <w:hideMark/>
          </w:tcPr>
          <w:p w14:paraId="5D78830C"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10,41%</w:t>
            </w:r>
          </w:p>
        </w:tc>
        <w:tc>
          <w:tcPr>
            <w:tcW w:w="883" w:type="dxa"/>
            <w:tcBorders>
              <w:top w:val="nil"/>
              <w:left w:val="nil"/>
              <w:bottom w:val="dotted" w:sz="4" w:space="0" w:color="969696"/>
              <w:right w:val="double" w:sz="6" w:space="0" w:color="969696"/>
            </w:tcBorders>
            <w:noWrap/>
            <w:vAlign w:val="center"/>
            <w:hideMark/>
          </w:tcPr>
          <w:p w14:paraId="73485446"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-0,14%</w:t>
            </w:r>
          </w:p>
        </w:tc>
        <w:tc>
          <w:tcPr>
            <w:tcW w:w="626" w:type="dxa"/>
            <w:vAlign w:val="center"/>
            <w:hideMark/>
          </w:tcPr>
          <w:p w14:paraId="38D5F75E" w14:textId="77777777" w:rsidR="000B6D3B" w:rsidRDefault="000B6D3B">
            <w:pPr>
              <w:rPr>
                <w:rFonts w:ascii="Calibri" w:eastAsia="Times New Roman" w:hAnsi="Calibri" w:cs="Calibri"/>
                <w:b/>
                <w:bCs/>
                <w:sz w:val="18"/>
                <w:szCs w:val="18"/>
                <w:lang w:eastAsia="hr-HR"/>
              </w:rPr>
            </w:pPr>
          </w:p>
        </w:tc>
      </w:tr>
      <w:tr w:rsidR="000B6D3B" w14:paraId="3694AB94" w14:textId="77777777" w:rsidTr="000B6D3B">
        <w:trPr>
          <w:trHeight w:val="468"/>
        </w:trPr>
        <w:tc>
          <w:tcPr>
            <w:tcW w:w="1027" w:type="dxa"/>
            <w:tcBorders>
              <w:top w:val="nil"/>
              <w:left w:val="double" w:sz="6" w:space="0" w:color="969696"/>
              <w:bottom w:val="dotted" w:sz="4" w:space="0" w:color="969696"/>
              <w:right w:val="nil"/>
            </w:tcBorders>
            <w:noWrap/>
            <w:vAlign w:val="center"/>
            <w:hideMark/>
          </w:tcPr>
          <w:p w14:paraId="534583CA" w14:textId="77777777" w:rsidR="000B6D3B" w:rsidRDefault="000B6D3B">
            <w:pPr>
              <w:spacing w:after="0" w:line="240" w:lineRule="auto"/>
              <w:rPr>
                <w:rFonts w:ascii="Calibri" w:eastAsia="Times New Roman" w:hAnsi="Calibri" w:cs="Calibri"/>
                <w:b/>
                <w:bCs/>
                <w:sz w:val="18"/>
                <w:szCs w:val="18"/>
                <w:lang w:eastAsia="hr-HR"/>
              </w:rPr>
            </w:pPr>
            <w:r>
              <w:rPr>
                <w:rFonts w:ascii="Calibri" w:eastAsia="Times New Roman" w:hAnsi="Calibri" w:cs="Calibri"/>
                <w:b/>
                <w:bCs/>
                <w:sz w:val="18"/>
                <w:szCs w:val="18"/>
                <w:lang w:eastAsia="hr-HR"/>
              </w:rPr>
              <w:t>Općina Baška</w:t>
            </w:r>
          </w:p>
        </w:tc>
        <w:tc>
          <w:tcPr>
            <w:tcW w:w="891" w:type="dxa"/>
            <w:tcBorders>
              <w:top w:val="nil"/>
              <w:left w:val="double" w:sz="6" w:space="0" w:color="969696"/>
              <w:bottom w:val="dotted" w:sz="4" w:space="0" w:color="969696"/>
              <w:right w:val="single" w:sz="4" w:space="0" w:color="969696"/>
            </w:tcBorders>
            <w:noWrap/>
            <w:vAlign w:val="center"/>
            <w:hideMark/>
          </w:tcPr>
          <w:p w14:paraId="2CDDBBC5"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13,93%</w:t>
            </w:r>
          </w:p>
        </w:tc>
        <w:tc>
          <w:tcPr>
            <w:tcW w:w="1116" w:type="dxa"/>
            <w:tcBorders>
              <w:top w:val="nil"/>
              <w:left w:val="nil"/>
              <w:bottom w:val="dotted" w:sz="4" w:space="0" w:color="969696"/>
              <w:right w:val="double" w:sz="6" w:space="0" w:color="969696"/>
            </w:tcBorders>
            <w:noWrap/>
            <w:vAlign w:val="center"/>
            <w:hideMark/>
          </w:tcPr>
          <w:p w14:paraId="517930CF"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44.912.600</w:t>
            </w:r>
          </w:p>
        </w:tc>
        <w:tc>
          <w:tcPr>
            <w:tcW w:w="1018" w:type="dxa"/>
            <w:tcBorders>
              <w:top w:val="nil"/>
              <w:left w:val="nil"/>
              <w:bottom w:val="dotted" w:sz="4" w:space="0" w:color="969696"/>
              <w:right w:val="nil"/>
            </w:tcBorders>
            <w:noWrap/>
            <w:vAlign w:val="center"/>
            <w:hideMark/>
          </w:tcPr>
          <w:p w14:paraId="3152508A"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 </w:t>
            </w:r>
          </w:p>
        </w:tc>
        <w:tc>
          <w:tcPr>
            <w:tcW w:w="1116" w:type="dxa"/>
            <w:tcBorders>
              <w:top w:val="nil"/>
              <w:left w:val="double" w:sz="6" w:space="0" w:color="969696"/>
              <w:bottom w:val="dotted" w:sz="4" w:space="0" w:color="969696"/>
              <w:right w:val="nil"/>
            </w:tcBorders>
            <w:noWrap/>
            <w:vAlign w:val="center"/>
            <w:hideMark/>
          </w:tcPr>
          <w:p w14:paraId="3DE881B8"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44.912.600</w:t>
            </w:r>
          </w:p>
        </w:tc>
        <w:tc>
          <w:tcPr>
            <w:tcW w:w="1026" w:type="dxa"/>
            <w:tcBorders>
              <w:top w:val="nil"/>
              <w:left w:val="double" w:sz="6" w:space="0" w:color="969696"/>
              <w:bottom w:val="dotted" w:sz="4" w:space="0" w:color="969696"/>
              <w:right w:val="double" w:sz="6" w:space="0" w:color="969696"/>
            </w:tcBorders>
            <w:noWrap/>
            <w:vAlign w:val="center"/>
            <w:hideMark/>
          </w:tcPr>
          <w:p w14:paraId="1BC5438B"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4.102.300</w:t>
            </w:r>
          </w:p>
        </w:tc>
        <w:tc>
          <w:tcPr>
            <w:tcW w:w="1116" w:type="dxa"/>
            <w:tcBorders>
              <w:top w:val="nil"/>
              <w:left w:val="nil"/>
              <w:bottom w:val="dotted" w:sz="4" w:space="0" w:color="969696"/>
              <w:right w:val="single" w:sz="4" w:space="0" w:color="969696"/>
            </w:tcBorders>
            <w:noWrap/>
            <w:vAlign w:val="center"/>
            <w:hideMark/>
          </w:tcPr>
          <w:p w14:paraId="79BCDAD9"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49.014.900</w:t>
            </w:r>
          </w:p>
        </w:tc>
        <w:tc>
          <w:tcPr>
            <w:tcW w:w="915" w:type="dxa"/>
            <w:tcBorders>
              <w:top w:val="nil"/>
              <w:left w:val="nil"/>
              <w:bottom w:val="dotted" w:sz="4" w:space="0" w:color="969696"/>
              <w:right w:val="double" w:sz="6" w:space="0" w:color="969696"/>
            </w:tcBorders>
            <w:noWrap/>
            <w:vAlign w:val="center"/>
            <w:hideMark/>
          </w:tcPr>
          <w:p w14:paraId="5D24AF3E"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12,95%</w:t>
            </w:r>
          </w:p>
        </w:tc>
        <w:tc>
          <w:tcPr>
            <w:tcW w:w="883" w:type="dxa"/>
            <w:tcBorders>
              <w:top w:val="nil"/>
              <w:left w:val="nil"/>
              <w:bottom w:val="dotted" w:sz="4" w:space="0" w:color="969696"/>
              <w:right w:val="double" w:sz="6" w:space="0" w:color="969696"/>
            </w:tcBorders>
            <w:noWrap/>
            <w:vAlign w:val="center"/>
            <w:hideMark/>
          </w:tcPr>
          <w:p w14:paraId="6363B377"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-0,98%</w:t>
            </w:r>
          </w:p>
        </w:tc>
        <w:tc>
          <w:tcPr>
            <w:tcW w:w="626" w:type="dxa"/>
            <w:vAlign w:val="center"/>
            <w:hideMark/>
          </w:tcPr>
          <w:p w14:paraId="02E8C330" w14:textId="77777777" w:rsidR="000B6D3B" w:rsidRDefault="000B6D3B">
            <w:pPr>
              <w:rPr>
                <w:rFonts w:ascii="Calibri" w:eastAsia="Times New Roman" w:hAnsi="Calibri" w:cs="Calibri"/>
                <w:b/>
                <w:bCs/>
                <w:sz w:val="18"/>
                <w:szCs w:val="18"/>
                <w:lang w:eastAsia="hr-HR"/>
              </w:rPr>
            </w:pPr>
          </w:p>
        </w:tc>
      </w:tr>
      <w:tr w:rsidR="000B6D3B" w14:paraId="445720AD" w14:textId="77777777" w:rsidTr="000B6D3B">
        <w:trPr>
          <w:trHeight w:val="384"/>
        </w:trPr>
        <w:tc>
          <w:tcPr>
            <w:tcW w:w="1027" w:type="dxa"/>
            <w:tcBorders>
              <w:top w:val="nil"/>
              <w:left w:val="double" w:sz="6" w:space="0" w:color="969696"/>
              <w:bottom w:val="dotted" w:sz="4" w:space="0" w:color="969696"/>
              <w:right w:val="nil"/>
            </w:tcBorders>
            <w:noWrap/>
            <w:vAlign w:val="center"/>
            <w:hideMark/>
          </w:tcPr>
          <w:p w14:paraId="00872DE1" w14:textId="77777777" w:rsidR="000B6D3B" w:rsidRDefault="000B6D3B">
            <w:pPr>
              <w:spacing w:after="0" w:line="240" w:lineRule="auto"/>
              <w:rPr>
                <w:rFonts w:ascii="Calibri" w:eastAsia="Times New Roman" w:hAnsi="Calibri" w:cs="Calibri"/>
                <w:b/>
                <w:bCs/>
                <w:sz w:val="18"/>
                <w:szCs w:val="18"/>
                <w:lang w:eastAsia="hr-HR"/>
              </w:rPr>
            </w:pPr>
            <w:r>
              <w:rPr>
                <w:rFonts w:ascii="Calibri" w:eastAsia="Times New Roman" w:hAnsi="Calibri" w:cs="Calibri"/>
                <w:b/>
                <w:bCs/>
                <w:sz w:val="18"/>
                <w:szCs w:val="18"/>
                <w:lang w:eastAsia="hr-HR"/>
              </w:rPr>
              <w:t>Općina Dobrinj</w:t>
            </w:r>
          </w:p>
        </w:tc>
        <w:tc>
          <w:tcPr>
            <w:tcW w:w="891" w:type="dxa"/>
            <w:tcBorders>
              <w:top w:val="nil"/>
              <w:left w:val="double" w:sz="6" w:space="0" w:color="969696"/>
              <w:bottom w:val="dotted" w:sz="4" w:space="0" w:color="969696"/>
              <w:right w:val="single" w:sz="4" w:space="0" w:color="969696"/>
            </w:tcBorders>
            <w:noWrap/>
            <w:vAlign w:val="center"/>
            <w:hideMark/>
          </w:tcPr>
          <w:p w14:paraId="5CF7C470"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12,31%</w:t>
            </w:r>
          </w:p>
        </w:tc>
        <w:tc>
          <w:tcPr>
            <w:tcW w:w="1116" w:type="dxa"/>
            <w:tcBorders>
              <w:top w:val="nil"/>
              <w:left w:val="nil"/>
              <w:bottom w:val="dotted" w:sz="4" w:space="0" w:color="969696"/>
              <w:right w:val="double" w:sz="6" w:space="0" w:color="969696"/>
            </w:tcBorders>
            <w:noWrap/>
            <w:vAlign w:val="center"/>
            <w:hideMark/>
          </w:tcPr>
          <w:p w14:paraId="2837E344"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39.674.600</w:t>
            </w:r>
          </w:p>
        </w:tc>
        <w:tc>
          <w:tcPr>
            <w:tcW w:w="1018" w:type="dxa"/>
            <w:tcBorders>
              <w:top w:val="nil"/>
              <w:left w:val="nil"/>
              <w:bottom w:val="dotted" w:sz="4" w:space="0" w:color="969696"/>
              <w:right w:val="nil"/>
            </w:tcBorders>
            <w:noWrap/>
            <w:vAlign w:val="center"/>
            <w:hideMark/>
          </w:tcPr>
          <w:p w14:paraId="03168033"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 </w:t>
            </w:r>
          </w:p>
        </w:tc>
        <w:tc>
          <w:tcPr>
            <w:tcW w:w="1116" w:type="dxa"/>
            <w:tcBorders>
              <w:top w:val="nil"/>
              <w:left w:val="double" w:sz="6" w:space="0" w:color="969696"/>
              <w:bottom w:val="dotted" w:sz="4" w:space="0" w:color="969696"/>
              <w:right w:val="nil"/>
            </w:tcBorders>
            <w:noWrap/>
            <w:vAlign w:val="center"/>
            <w:hideMark/>
          </w:tcPr>
          <w:p w14:paraId="1140C580"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39.674.600</w:t>
            </w:r>
          </w:p>
        </w:tc>
        <w:tc>
          <w:tcPr>
            <w:tcW w:w="1026" w:type="dxa"/>
            <w:tcBorders>
              <w:top w:val="nil"/>
              <w:left w:val="double" w:sz="6" w:space="0" w:color="969696"/>
              <w:bottom w:val="dotted" w:sz="4" w:space="0" w:color="969696"/>
              <w:right w:val="double" w:sz="6" w:space="0" w:color="969696"/>
            </w:tcBorders>
            <w:noWrap/>
            <w:vAlign w:val="center"/>
            <w:hideMark/>
          </w:tcPr>
          <w:p w14:paraId="7CE56FFA"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13.879.900</w:t>
            </w:r>
          </w:p>
        </w:tc>
        <w:tc>
          <w:tcPr>
            <w:tcW w:w="1116" w:type="dxa"/>
            <w:tcBorders>
              <w:top w:val="nil"/>
              <w:left w:val="nil"/>
              <w:bottom w:val="dotted" w:sz="4" w:space="0" w:color="969696"/>
              <w:right w:val="single" w:sz="4" w:space="0" w:color="969696"/>
            </w:tcBorders>
            <w:noWrap/>
            <w:vAlign w:val="center"/>
            <w:hideMark/>
          </w:tcPr>
          <w:p w14:paraId="0905CEAC"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53.554.500</w:t>
            </w:r>
          </w:p>
        </w:tc>
        <w:tc>
          <w:tcPr>
            <w:tcW w:w="915" w:type="dxa"/>
            <w:tcBorders>
              <w:top w:val="nil"/>
              <w:left w:val="nil"/>
              <w:bottom w:val="dotted" w:sz="4" w:space="0" w:color="969696"/>
              <w:right w:val="double" w:sz="6" w:space="0" w:color="969696"/>
            </w:tcBorders>
            <w:noWrap/>
            <w:vAlign w:val="center"/>
            <w:hideMark/>
          </w:tcPr>
          <w:p w14:paraId="3ED651E9"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14,15%</w:t>
            </w:r>
          </w:p>
        </w:tc>
        <w:tc>
          <w:tcPr>
            <w:tcW w:w="883" w:type="dxa"/>
            <w:tcBorders>
              <w:top w:val="nil"/>
              <w:left w:val="nil"/>
              <w:bottom w:val="dotted" w:sz="4" w:space="0" w:color="969696"/>
              <w:right w:val="double" w:sz="6" w:space="0" w:color="969696"/>
            </w:tcBorders>
            <w:noWrap/>
            <w:vAlign w:val="center"/>
            <w:hideMark/>
          </w:tcPr>
          <w:p w14:paraId="3F111EAD"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1,84%</w:t>
            </w:r>
          </w:p>
        </w:tc>
        <w:tc>
          <w:tcPr>
            <w:tcW w:w="626" w:type="dxa"/>
            <w:vAlign w:val="center"/>
            <w:hideMark/>
          </w:tcPr>
          <w:p w14:paraId="0ED2B42F" w14:textId="77777777" w:rsidR="000B6D3B" w:rsidRDefault="000B6D3B">
            <w:pPr>
              <w:rPr>
                <w:rFonts w:ascii="Calibri" w:eastAsia="Times New Roman" w:hAnsi="Calibri" w:cs="Calibri"/>
                <w:b/>
                <w:bCs/>
                <w:sz w:val="18"/>
                <w:szCs w:val="18"/>
                <w:lang w:eastAsia="hr-HR"/>
              </w:rPr>
            </w:pPr>
          </w:p>
        </w:tc>
      </w:tr>
      <w:tr w:rsidR="000B6D3B" w14:paraId="611C247B" w14:textId="77777777" w:rsidTr="000B6D3B">
        <w:trPr>
          <w:trHeight w:val="407"/>
        </w:trPr>
        <w:tc>
          <w:tcPr>
            <w:tcW w:w="1027" w:type="dxa"/>
            <w:tcBorders>
              <w:top w:val="nil"/>
              <w:left w:val="double" w:sz="6" w:space="0" w:color="969696"/>
              <w:bottom w:val="double" w:sz="6" w:space="0" w:color="969696"/>
              <w:right w:val="nil"/>
            </w:tcBorders>
            <w:noWrap/>
            <w:vAlign w:val="center"/>
            <w:hideMark/>
          </w:tcPr>
          <w:p w14:paraId="5D8D7020" w14:textId="77777777" w:rsidR="000B6D3B" w:rsidRDefault="000B6D3B">
            <w:pPr>
              <w:spacing w:after="0" w:line="240" w:lineRule="auto"/>
              <w:rPr>
                <w:rFonts w:ascii="Calibri" w:eastAsia="Times New Roman" w:hAnsi="Calibri" w:cs="Calibri"/>
                <w:b/>
                <w:bCs/>
                <w:sz w:val="18"/>
                <w:szCs w:val="18"/>
                <w:lang w:eastAsia="hr-HR"/>
              </w:rPr>
            </w:pPr>
            <w:r>
              <w:rPr>
                <w:rFonts w:ascii="Calibri" w:eastAsia="Times New Roman" w:hAnsi="Calibri" w:cs="Calibri"/>
                <w:b/>
                <w:bCs/>
                <w:sz w:val="18"/>
                <w:szCs w:val="18"/>
                <w:lang w:eastAsia="hr-HR"/>
              </w:rPr>
              <w:t>Općina Vrbnik</w:t>
            </w:r>
          </w:p>
        </w:tc>
        <w:tc>
          <w:tcPr>
            <w:tcW w:w="891" w:type="dxa"/>
            <w:tcBorders>
              <w:top w:val="nil"/>
              <w:left w:val="double" w:sz="6" w:space="0" w:color="969696"/>
              <w:bottom w:val="double" w:sz="6" w:space="0" w:color="969696"/>
              <w:right w:val="single" w:sz="4" w:space="0" w:color="969696"/>
            </w:tcBorders>
            <w:noWrap/>
            <w:vAlign w:val="center"/>
            <w:hideMark/>
          </w:tcPr>
          <w:p w14:paraId="16136F51"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5,95%</w:t>
            </w:r>
          </w:p>
        </w:tc>
        <w:tc>
          <w:tcPr>
            <w:tcW w:w="1116" w:type="dxa"/>
            <w:tcBorders>
              <w:top w:val="nil"/>
              <w:left w:val="nil"/>
              <w:bottom w:val="double" w:sz="6" w:space="0" w:color="969696"/>
              <w:right w:val="double" w:sz="6" w:space="0" w:color="969696"/>
            </w:tcBorders>
            <w:noWrap/>
            <w:vAlign w:val="center"/>
            <w:hideMark/>
          </w:tcPr>
          <w:p w14:paraId="02A23B4A"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19.175.800</w:t>
            </w:r>
          </w:p>
        </w:tc>
        <w:tc>
          <w:tcPr>
            <w:tcW w:w="1018" w:type="dxa"/>
            <w:tcBorders>
              <w:top w:val="nil"/>
              <w:left w:val="nil"/>
              <w:bottom w:val="double" w:sz="6" w:space="0" w:color="969696"/>
              <w:right w:val="nil"/>
            </w:tcBorders>
            <w:noWrap/>
            <w:vAlign w:val="center"/>
            <w:hideMark/>
          </w:tcPr>
          <w:p w14:paraId="24C93697"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 </w:t>
            </w:r>
          </w:p>
        </w:tc>
        <w:tc>
          <w:tcPr>
            <w:tcW w:w="1116" w:type="dxa"/>
            <w:tcBorders>
              <w:top w:val="nil"/>
              <w:left w:val="double" w:sz="6" w:space="0" w:color="969696"/>
              <w:bottom w:val="double" w:sz="6" w:space="0" w:color="969696"/>
              <w:right w:val="nil"/>
            </w:tcBorders>
            <w:noWrap/>
            <w:vAlign w:val="center"/>
            <w:hideMark/>
          </w:tcPr>
          <w:p w14:paraId="563FF4E1"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19.175.800</w:t>
            </w:r>
          </w:p>
        </w:tc>
        <w:tc>
          <w:tcPr>
            <w:tcW w:w="1026" w:type="dxa"/>
            <w:tcBorders>
              <w:top w:val="nil"/>
              <w:left w:val="double" w:sz="6" w:space="0" w:color="969696"/>
              <w:bottom w:val="double" w:sz="6" w:space="0" w:color="969696"/>
              <w:right w:val="double" w:sz="6" w:space="0" w:color="969696"/>
            </w:tcBorders>
            <w:noWrap/>
            <w:vAlign w:val="center"/>
            <w:hideMark/>
          </w:tcPr>
          <w:p w14:paraId="6EA24B27"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2.629.400</w:t>
            </w:r>
          </w:p>
        </w:tc>
        <w:tc>
          <w:tcPr>
            <w:tcW w:w="1116" w:type="dxa"/>
            <w:tcBorders>
              <w:top w:val="nil"/>
              <w:left w:val="nil"/>
              <w:bottom w:val="double" w:sz="6" w:space="0" w:color="969696"/>
              <w:right w:val="single" w:sz="4" w:space="0" w:color="969696"/>
            </w:tcBorders>
            <w:noWrap/>
            <w:vAlign w:val="center"/>
            <w:hideMark/>
          </w:tcPr>
          <w:p w14:paraId="632A1B31"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21.805.200</w:t>
            </w:r>
          </w:p>
        </w:tc>
        <w:tc>
          <w:tcPr>
            <w:tcW w:w="915" w:type="dxa"/>
            <w:tcBorders>
              <w:top w:val="nil"/>
              <w:left w:val="nil"/>
              <w:bottom w:val="double" w:sz="6" w:space="0" w:color="969696"/>
              <w:right w:val="double" w:sz="6" w:space="0" w:color="969696"/>
            </w:tcBorders>
            <w:noWrap/>
            <w:vAlign w:val="center"/>
            <w:hideMark/>
          </w:tcPr>
          <w:p w14:paraId="616202BC"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5,76%</w:t>
            </w:r>
          </w:p>
        </w:tc>
        <w:tc>
          <w:tcPr>
            <w:tcW w:w="883" w:type="dxa"/>
            <w:tcBorders>
              <w:top w:val="nil"/>
              <w:left w:val="nil"/>
              <w:bottom w:val="double" w:sz="6" w:space="0" w:color="969696"/>
              <w:right w:val="double" w:sz="6" w:space="0" w:color="969696"/>
            </w:tcBorders>
            <w:noWrap/>
            <w:vAlign w:val="center"/>
            <w:hideMark/>
          </w:tcPr>
          <w:p w14:paraId="080FE1A2"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-0,19%</w:t>
            </w:r>
          </w:p>
        </w:tc>
        <w:tc>
          <w:tcPr>
            <w:tcW w:w="626" w:type="dxa"/>
            <w:vAlign w:val="center"/>
            <w:hideMark/>
          </w:tcPr>
          <w:p w14:paraId="644FB693" w14:textId="77777777" w:rsidR="000B6D3B" w:rsidRDefault="000B6D3B">
            <w:pPr>
              <w:rPr>
                <w:rFonts w:ascii="Calibri" w:eastAsia="Times New Roman" w:hAnsi="Calibri" w:cs="Calibri"/>
                <w:b/>
                <w:bCs/>
                <w:sz w:val="18"/>
                <w:szCs w:val="18"/>
                <w:lang w:eastAsia="hr-HR"/>
              </w:rPr>
            </w:pPr>
          </w:p>
        </w:tc>
      </w:tr>
      <w:tr w:rsidR="000B6D3B" w14:paraId="1ED73CEB" w14:textId="77777777" w:rsidTr="000B6D3B">
        <w:trPr>
          <w:trHeight w:val="403"/>
        </w:trPr>
        <w:tc>
          <w:tcPr>
            <w:tcW w:w="1027" w:type="dxa"/>
            <w:tcBorders>
              <w:top w:val="nil"/>
              <w:left w:val="double" w:sz="6" w:space="0" w:color="969696"/>
              <w:bottom w:val="double" w:sz="6" w:space="0" w:color="969696"/>
              <w:right w:val="nil"/>
            </w:tcBorders>
            <w:noWrap/>
            <w:vAlign w:val="center"/>
            <w:hideMark/>
          </w:tcPr>
          <w:p w14:paraId="0FB05EEC" w14:textId="77777777" w:rsidR="000B6D3B" w:rsidRDefault="000B6D3B">
            <w:pPr>
              <w:spacing w:after="0" w:line="240" w:lineRule="auto"/>
              <w:rPr>
                <w:rFonts w:ascii="Calibri" w:eastAsia="Times New Roman" w:hAnsi="Calibri" w:cs="Calibri"/>
                <w:b/>
                <w:bCs/>
                <w:sz w:val="18"/>
                <w:szCs w:val="18"/>
                <w:lang w:eastAsia="hr-HR"/>
              </w:rPr>
            </w:pPr>
            <w:r>
              <w:rPr>
                <w:rFonts w:ascii="Calibri" w:eastAsia="Times New Roman" w:hAnsi="Calibri" w:cs="Calibri"/>
                <w:b/>
                <w:bCs/>
                <w:sz w:val="18"/>
                <w:szCs w:val="18"/>
                <w:lang w:eastAsia="hr-HR"/>
              </w:rPr>
              <w:t>Ukupno</w:t>
            </w:r>
          </w:p>
        </w:tc>
        <w:tc>
          <w:tcPr>
            <w:tcW w:w="891" w:type="dxa"/>
            <w:tcBorders>
              <w:top w:val="nil"/>
              <w:left w:val="double" w:sz="6" w:space="0" w:color="969696"/>
              <w:bottom w:val="double" w:sz="6" w:space="0" w:color="969696"/>
              <w:right w:val="single" w:sz="4" w:space="0" w:color="969696"/>
            </w:tcBorders>
            <w:noWrap/>
            <w:vAlign w:val="center"/>
            <w:hideMark/>
          </w:tcPr>
          <w:p w14:paraId="7C364E36"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100,00%</w:t>
            </w:r>
          </w:p>
        </w:tc>
        <w:tc>
          <w:tcPr>
            <w:tcW w:w="1116" w:type="dxa"/>
            <w:tcBorders>
              <w:top w:val="nil"/>
              <w:left w:val="nil"/>
              <w:bottom w:val="double" w:sz="6" w:space="0" w:color="969696"/>
              <w:right w:val="double" w:sz="6" w:space="0" w:color="969696"/>
            </w:tcBorders>
            <w:noWrap/>
            <w:vAlign w:val="center"/>
            <w:hideMark/>
          </w:tcPr>
          <w:p w14:paraId="4A635C96"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322.395.200</w:t>
            </w:r>
          </w:p>
        </w:tc>
        <w:tc>
          <w:tcPr>
            <w:tcW w:w="1018" w:type="dxa"/>
            <w:tcBorders>
              <w:top w:val="nil"/>
              <w:left w:val="nil"/>
              <w:bottom w:val="double" w:sz="6" w:space="0" w:color="969696"/>
              <w:right w:val="nil"/>
            </w:tcBorders>
            <w:noWrap/>
            <w:vAlign w:val="center"/>
            <w:hideMark/>
          </w:tcPr>
          <w:p w14:paraId="60E3C0C7"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0</w:t>
            </w:r>
          </w:p>
        </w:tc>
        <w:tc>
          <w:tcPr>
            <w:tcW w:w="1116" w:type="dxa"/>
            <w:tcBorders>
              <w:top w:val="nil"/>
              <w:left w:val="double" w:sz="6" w:space="0" w:color="969696"/>
              <w:bottom w:val="double" w:sz="6" w:space="0" w:color="969696"/>
              <w:right w:val="nil"/>
            </w:tcBorders>
            <w:noWrap/>
            <w:vAlign w:val="center"/>
            <w:hideMark/>
          </w:tcPr>
          <w:p w14:paraId="1C678DC7"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322.395.200</w:t>
            </w:r>
          </w:p>
        </w:tc>
        <w:tc>
          <w:tcPr>
            <w:tcW w:w="1026" w:type="dxa"/>
            <w:tcBorders>
              <w:top w:val="nil"/>
              <w:left w:val="double" w:sz="6" w:space="0" w:color="969696"/>
              <w:bottom w:val="double" w:sz="6" w:space="0" w:color="969696"/>
              <w:right w:val="double" w:sz="6" w:space="0" w:color="969696"/>
            </w:tcBorders>
            <w:noWrap/>
            <w:vAlign w:val="center"/>
            <w:hideMark/>
          </w:tcPr>
          <w:p w14:paraId="4BB6CBF5"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56.067.800</w:t>
            </w:r>
          </w:p>
        </w:tc>
        <w:tc>
          <w:tcPr>
            <w:tcW w:w="1116" w:type="dxa"/>
            <w:tcBorders>
              <w:top w:val="nil"/>
              <w:left w:val="nil"/>
              <w:bottom w:val="double" w:sz="6" w:space="0" w:color="969696"/>
              <w:right w:val="nil"/>
            </w:tcBorders>
            <w:noWrap/>
            <w:vAlign w:val="center"/>
            <w:hideMark/>
          </w:tcPr>
          <w:p w14:paraId="3EBB467A"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378.463.000</w:t>
            </w:r>
          </w:p>
        </w:tc>
        <w:tc>
          <w:tcPr>
            <w:tcW w:w="915" w:type="dxa"/>
            <w:tcBorders>
              <w:top w:val="nil"/>
              <w:left w:val="single" w:sz="4" w:space="0" w:color="969696"/>
              <w:bottom w:val="double" w:sz="6" w:space="0" w:color="969696"/>
              <w:right w:val="nil"/>
            </w:tcBorders>
            <w:noWrap/>
            <w:vAlign w:val="center"/>
            <w:hideMark/>
          </w:tcPr>
          <w:p w14:paraId="318B934F"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100,00%</w:t>
            </w:r>
          </w:p>
        </w:tc>
        <w:tc>
          <w:tcPr>
            <w:tcW w:w="883" w:type="dxa"/>
            <w:tcBorders>
              <w:top w:val="nil"/>
              <w:left w:val="double" w:sz="6" w:space="0" w:color="969696"/>
              <w:bottom w:val="nil"/>
              <w:right w:val="nil"/>
            </w:tcBorders>
            <w:noWrap/>
            <w:vAlign w:val="center"/>
            <w:hideMark/>
          </w:tcPr>
          <w:p w14:paraId="529F0122" w14:textId="77777777" w:rsidR="000B6D3B" w:rsidRDefault="000B6D3B">
            <w:pPr>
              <w:spacing w:after="0" w:line="240" w:lineRule="auto"/>
              <w:jc w:val="center"/>
              <w:rPr>
                <w:rFonts w:ascii="Calibri" w:eastAsia="Times New Roman" w:hAnsi="Calibri" w:cs="Calibri"/>
                <w:b/>
                <w:bCs/>
                <w:sz w:val="18"/>
                <w:szCs w:val="18"/>
                <w:lang w:eastAsia="hr-HR"/>
              </w:rPr>
            </w:pPr>
            <w:r>
              <w:rPr>
                <w:rFonts w:ascii="Calibri" w:eastAsia="Times New Roman" w:hAnsi="Calibri" w:cs="Calibri"/>
                <w:b/>
                <w:bCs/>
                <w:sz w:val="18"/>
                <w:szCs w:val="18"/>
                <w:lang w:eastAsia="hr-HR"/>
              </w:rPr>
              <w:t> </w:t>
            </w:r>
          </w:p>
        </w:tc>
        <w:tc>
          <w:tcPr>
            <w:tcW w:w="626" w:type="dxa"/>
            <w:vAlign w:val="center"/>
            <w:hideMark/>
          </w:tcPr>
          <w:p w14:paraId="38FB6179" w14:textId="77777777" w:rsidR="000B6D3B" w:rsidRDefault="000B6D3B">
            <w:pPr>
              <w:rPr>
                <w:rFonts w:ascii="Calibri" w:eastAsia="Times New Roman" w:hAnsi="Calibri" w:cs="Calibri"/>
                <w:b/>
                <w:bCs/>
                <w:sz w:val="18"/>
                <w:szCs w:val="18"/>
                <w:lang w:eastAsia="hr-HR"/>
              </w:rPr>
            </w:pPr>
          </w:p>
        </w:tc>
      </w:tr>
    </w:tbl>
    <w:p w14:paraId="4248D4AB" w14:textId="77777777" w:rsidR="000B6D3B" w:rsidRDefault="000B6D3B" w:rsidP="000B6D3B">
      <w:pPr>
        <w:spacing w:after="0" w:line="240" w:lineRule="auto"/>
        <w:ind w:right="92"/>
        <w:jc w:val="both"/>
        <w:rPr>
          <w:rFonts w:ascii="Calibri" w:eastAsia="Times New Roman" w:hAnsi="Calibri" w:cs="Times New Roman"/>
          <w:b/>
          <w:bCs/>
          <w:sz w:val="24"/>
          <w:szCs w:val="24"/>
        </w:rPr>
      </w:pPr>
    </w:p>
    <w:p w14:paraId="7F138107" w14:textId="77777777" w:rsidR="000B6D3B" w:rsidRDefault="000B6D3B" w:rsidP="000B6D3B">
      <w:pPr>
        <w:spacing w:after="0" w:line="240" w:lineRule="auto"/>
        <w:ind w:right="92"/>
        <w:jc w:val="both"/>
        <w:rPr>
          <w:rFonts w:ascii="Calibri" w:eastAsia="Times New Roman" w:hAnsi="Calibri" w:cs="Times New Roman"/>
        </w:rPr>
      </w:pPr>
      <w:r>
        <w:rPr>
          <w:rFonts w:ascii="Calibri" w:eastAsia="Times New Roman" w:hAnsi="Calibri" w:cs="Times New Roman"/>
        </w:rPr>
        <w:t xml:space="preserve">Temeljni kapital društva povećan je s iznosa od 322.395.200 kn za iznos od 56.067.800 kn na iznos od 378.463.000 kn. </w:t>
      </w:r>
    </w:p>
    <w:p w14:paraId="2A49F2BD" w14:textId="77777777" w:rsidR="000B6D3B" w:rsidRDefault="000B6D3B" w:rsidP="000B6D3B">
      <w:pPr>
        <w:tabs>
          <w:tab w:val="left" w:pos="-180"/>
        </w:tabs>
        <w:overflowPunct w:val="0"/>
        <w:autoSpaceDE w:val="0"/>
        <w:autoSpaceDN w:val="0"/>
        <w:adjustRightInd w:val="0"/>
        <w:spacing w:after="0" w:line="240" w:lineRule="auto"/>
        <w:ind w:right="-17"/>
        <w:jc w:val="both"/>
        <w:textAlignment w:val="baseline"/>
        <w:rPr>
          <w:rFonts w:ascii="Calibri" w:eastAsia="Times New Roman" w:hAnsi="Calibri" w:cs="Calibri"/>
          <w:iCs/>
          <w:lang w:eastAsia="hr-HR"/>
        </w:rPr>
      </w:pPr>
    </w:p>
    <w:p w14:paraId="71F2069D" w14:textId="77777777" w:rsidR="000B6D3B" w:rsidRDefault="000B6D3B" w:rsidP="000B6D3B">
      <w:pPr>
        <w:numPr>
          <w:ilvl w:val="1"/>
          <w:numId w:val="6"/>
        </w:numPr>
        <w:tabs>
          <w:tab w:val="left" w:pos="-180"/>
        </w:tabs>
        <w:overflowPunct w:val="0"/>
        <w:autoSpaceDE w:val="0"/>
        <w:autoSpaceDN w:val="0"/>
        <w:adjustRightInd w:val="0"/>
        <w:spacing w:after="0" w:line="240" w:lineRule="auto"/>
        <w:ind w:right="-17"/>
        <w:contextualSpacing/>
        <w:jc w:val="both"/>
        <w:textAlignment w:val="baseline"/>
        <w:rPr>
          <w:rFonts w:ascii="Calibri" w:eastAsia="Times New Roman" w:hAnsi="Calibri" w:cs="Calibri"/>
          <w:b/>
          <w:bCs/>
        </w:rPr>
      </w:pPr>
      <w:r>
        <w:rPr>
          <w:rFonts w:ascii="Calibri" w:eastAsia="Times New Roman" w:hAnsi="Calibri" w:cs="Calibri"/>
          <w:b/>
          <w:bCs/>
        </w:rPr>
        <w:t xml:space="preserve"> Upravljanje EU projektom</w:t>
      </w:r>
    </w:p>
    <w:p w14:paraId="6CF49996" w14:textId="77777777" w:rsidR="000B6D3B" w:rsidRDefault="000B6D3B" w:rsidP="000B6D3B">
      <w:pPr>
        <w:spacing w:after="0" w:line="240" w:lineRule="auto"/>
        <w:ind w:right="92"/>
        <w:jc w:val="both"/>
        <w:rPr>
          <w:rFonts w:ascii="Calibri" w:eastAsia="Calibri" w:hAnsi="Calibri" w:cs="Calibri"/>
          <w:iCs/>
        </w:rPr>
      </w:pPr>
    </w:p>
    <w:p w14:paraId="7EB506B3" w14:textId="77777777" w:rsidR="000B6D3B" w:rsidRDefault="000B6D3B" w:rsidP="000B6D3B">
      <w:pPr>
        <w:tabs>
          <w:tab w:val="left" w:pos="-180"/>
        </w:tabs>
        <w:overflowPunct w:val="0"/>
        <w:autoSpaceDE w:val="0"/>
        <w:autoSpaceDN w:val="0"/>
        <w:adjustRightInd w:val="0"/>
        <w:spacing w:after="0" w:line="240" w:lineRule="auto"/>
        <w:ind w:right="-17"/>
        <w:jc w:val="both"/>
        <w:textAlignment w:val="baseline"/>
        <w:rPr>
          <w:rFonts w:ascii="Calibri" w:eastAsia="Times New Roman" w:hAnsi="Calibri" w:cs="Times New Roman"/>
          <w:iCs/>
          <w:lang w:eastAsia="hr-HR"/>
        </w:rPr>
      </w:pPr>
      <w:r>
        <w:rPr>
          <w:rFonts w:ascii="Calibri" w:eastAsia="Times New Roman" w:hAnsi="Calibri" w:cs="Times New Roman"/>
          <w:iCs/>
          <w:lang w:eastAsia="hr-HR"/>
        </w:rPr>
        <w:t xml:space="preserve">U travnju 2021. godine </w:t>
      </w:r>
      <w:r>
        <w:rPr>
          <w:rFonts w:ascii="Calibri" w:eastAsia="Times New Roman" w:hAnsi="Calibri" w:cs="Times New Roman"/>
        </w:rPr>
        <w:t xml:space="preserve">Ernst &amp; Young savjetovanje d.o.o. uputilo je prijedlog sporazuma o završetku ugovora o uslugama tehničke podrške upravljanja EU projektom </w:t>
      </w:r>
      <w:r>
        <w:rPr>
          <w:rFonts w:ascii="Calibri" w:eastAsia="Times New Roman" w:hAnsi="Calibri" w:cs="Times New Roman"/>
          <w:iCs/>
        </w:rPr>
        <w:t xml:space="preserve">„Projekt prikupljanja, pročišćavanja i odvodnje otpadnih voda na području otoka Krka“ prema kojem bi upravljanje projektom završilo do srpnja 2021. godine i riješila se problematika međusobnih potraživanja i obveza. </w:t>
      </w:r>
    </w:p>
    <w:p w14:paraId="01CF00EF" w14:textId="77777777" w:rsidR="000B6D3B" w:rsidRDefault="000B6D3B" w:rsidP="000B6D3B">
      <w:pPr>
        <w:spacing w:after="0" w:line="240" w:lineRule="auto"/>
        <w:ind w:right="92"/>
        <w:jc w:val="both"/>
        <w:rPr>
          <w:rFonts w:ascii="Calibri" w:eastAsia="Calibri" w:hAnsi="Calibri" w:cs="Calibri"/>
          <w:iCs/>
        </w:rPr>
      </w:pPr>
    </w:p>
    <w:p w14:paraId="7D6386B2" w14:textId="77777777" w:rsidR="000B6D3B" w:rsidRDefault="000B6D3B" w:rsidP="000B6D3B">
      <w:pPr>
        <w:spacing w:after="0" w:line="240" w:lineRule="auto"/>
        <w:ind w:right="92"/>
        <w:jc w:val="both"/>
        <w:rPr>
          <w:rFonts w:ascii="Calibri" w:eastAsia="Calibri" w:hAnsi="Calibri" w:cs="Calibri"/>
          <w:iCs/>
        </w:rPr>
      </w:pPr>
    </w:p>
    <w:p w14:paraId="6E334B82" w14:textId="77777777" w:rsidR="000B6D3B" w:rsidRDefault="000B6D3B" w:rsidP="000B6D3B">
      <w:pPr>
        <w:numPr>
          <w:ilvl w:val="0"/>
          <w:numId w:val="6"/>
        </w:numPr>
        <w:spacing w:after="0" w:line="240" w:lineRule="auto"/>
        <w:ind w:right="92"/>
        <w:contextualSpacing/>
        <w:jc w:val="both"/>
        <w:rPr>
          <w:rFonts w:ascii="Calibri" w:eastAsia="Times New Roman" w:hAnsi="Calibri" w:cs="Calibri"/>
          <w:b/>
          <w:bCs/>
          <w:iCs/>
          <w:sz w:val="24"/>
          <w:szCs w:val="24"/>
        </w:rPr>
      </w:pPr>
      <w:r>
        <w:rPr>
          <w:rFonts w:ascii="Calibri" w:eastAsia="Times New Roman" w:hAnsi="Calibri" w:cs="Calibri"/>
          <w:b/>
          <w:bCs/>
          <w:iCs/>
          <w:sz w:val="24"/>
          <w:szCs w:val="24"/>
        </w:rPr>
        <w:t>DOGAĐAJI OD UTJECAJA NA BUDUĆE POSLOVANJE</w:t>
      </w:r>
    </w:p>
    <w:p w14:paraId="40E499E9" w14:textId="77777777" w:rsidR="000B6D3B" w:rsidRDefault="000B6D3B" w:rsidP="000B6D3B">
      <w:pPr>
        <w:spacing w:after="0" w:line="240" w:lineRule="auto"/>
        <w:ind w:right="92"/>
        <w:jc w:val="both"/>
        <w:rPr>
          <w:rFonts w:ascii="Calibri" w:eastAsia="Calibri" w:hAnsi="Calibri" w:cs="Calibri"/>
          <w:iCs/>
        </w:rPr>
      </w:pPr>
    </w:p>
    <w:p w14:paraId="1CF157D6" w14:textId="77777777" w:rsidR="000B6D3B" w:rsidRDefault="000B6D3B" w:rsidP="000B6D3B">
      <w:pPr>
        <w:spacing w:after="0" w:line="240" w:lineRule="auto"/>
        <w:ind w:right="92"/>
        <w:jc w:val="both"/>
        <w:rPr>
          <w:rFonts w:ascii="Calibri" w:eastAsia="Calibri" w:hAnsi="Calibri" w:cs="Calibri"/>
          <w:iCs/>
        </w:rPr>
      </w:pPr>
      <w:r>
        <w:rPr>
          <w:rFonts w:ascii="Calibri" w:eastAsia="Calibri" w:hAnsi="Calibri" w:cs="Calibri"/>
          <w:iCs/>
        </w:rPr>
        <w:t>U ožujku 2020. godine proglašena je pandemija bolesti COVID-19 uzrokovana virusom SARS-CoV-2 (koronavirus). Pandemija traje i u 2021. godini. Uprava društva predviđa da će pandemija imati utjecaj na poslovanje Društva i u 2021. godini, kako na smanjenje prihoda tako i na likvidnost te se poduzimaju aktivnosti oko prevladavanja navedenih rizika (kontrola rashoda te utroška vlastitih sredstava u financiranju ulaganja u nova osnovna sredstva radi zaštite likvidnosti Društva).</w:t>
      </w:r>
    </w:p>
    <w:p w14:paraId="78033C1C" w14:textId="77777777" w:rsidR="00A47DC5" w:rsidRDefault="00A47DC5" w:rsidP="000B6D3B">
      <w:pPr>
        <w:spacing w:after="0" w:line="240" w:lineRule="auto"/>
        <w:ind w:right="92"/>
        <w:jc w:val="both"/>
        <w:rPr>
          <w:rFonts w:cstheme="minorHAnsi"/>
          <w:iCs/>
        </w:rPr>
      </w:pPr>
    </w:p>
    <w:p w14:paraId="73DB41A3" w14:textId="75BD3E12" w:rsidR="000B6D3B" w:rsidRDefault="000B6D3B" w:rsidP="000B6D3B">
      <w:pPr>
        <w:spacing w:after="0" w:line="240" w:lineRule="auto"/>
        <w:ind w:right="92"/>
        <w:jc w:val="both"/>
        <w:rPr>
          <w:rFonts w:cstheme="minorHAnsi"/>
          <w:iCs/>
        </w:rPr>
      </w:pPr>
      <w:r>
        <w:rPr>
          <w:rFonts w:cstheme="minorHAnsi"/>
          <w:iCs/>
        </w:rPr>
        <w:t>Krk, 31. svibnja 2021.</w:t>
      </w:r>
      <w:r>
        <w:rPr>
          <w:rFonts w:cstheme="minorHAnsi"/>
          <w:iCs/>
        </w:rPr>
        <w:tab/>
      </w:r>
      <w:r>
        <w:rPr>
          <w:rFonts w:cstheme="minorHAnsi"/>
          <w:iCs/>
        </w:rPr>
        <w:tab/>
      </w:r>
      <w:r>
        <w:rPr>
          <w:rFonts w:cstheme="minorHAnsi"/>
          <w:iCs/>
        </w:rPr>
        <w:tab/>
      </w:r>
    </w:p>
    <w:p w14:paraId="3D71F6A3" w14:textId="77777777" w:rsidR="000B6D3B" w:rsidRDefault="000B6D3B" w:rsidP="000B6D3B">
      <w:pPr>
        <w:ind w:right="92"/>
        <w:jc w:val="both"/>
        <w:rPr>
          <w:rFonts w:cstheme="minorHAnsi"/>
          <w:iCs/>
        </w:rPr>
      </w:pPr>
      <w:r>
        <w:rPr>
          <w:rFonts w:cstheme="minorHAnsi"/>
          <w:iCs/>
        </w:rPr>
        <w:tab/>
      </w:r>
      <w:r>
        <w:rPr>
          <w:rFonts w:cstheme="minorHAnsi"/>
          <w:iCs/>
        </w:rPr>
        <w:tab/>
      </w:r>
      <w:r>
        <w:rPr>
          <w:rFonts w:cstheme="minorHAnsi"/>
          <w:iCs/>
        </w:rPr>
        <w:tab/>
      </w:r>
      <w:r>
        <w:rPr>
          <w:rFonts w:cstheme="minorHAnsi"/>
          <w:iCs/>
        </w:rPr>
        <w:tab/>
      </w:r>
      <w:r>
        <w:rPr>
          <w:rFonts w:cstheme="minorHAnsi"/>
          <w:iCs/>
        </w:rPr>
        <w:tab/>
      </w:r>
      <w:r>
        <w:rPr>
          <w:rFonts w:cstheme="minorHAnsi"/>
          <w:iCs/>
        </w:rPr>
        <w:tab/>
      </w:r>
      <w:r>
        <w:rPr>
          <w:rFonts w:cstheme="minorHAnsi"/>
          <w:iCs/>
        </w:rPr>
        <w:tab/>
      </w:r>
      <w:r>
        <w:rPr>
          <w:rFonts w:cstheme="minorHAnsi"/>
          <w:iCs/>
        </w:rPr>
        <w:tab/>
      </w:r>
      <w:r>
        <w:rPr>
          <w:rFonts w:cstheme="minorHAnsi"/>
          <w:iCs/>
        </w:rPr>
        <w:tab/>
        <w:t>Uprava Društva:</w:t>
      </w:r>
    </w:p>
    <w:p w14:paraId="580F9EC2" w14:textId="77777777" w:rsidR="000B6D3B" w:rsidRDefault="000B6D3B" w:rsidP="000B6D3B">
      <w:pPr>
        <w:ind w:left="6372" w:right="92"/>
        <w:jc w:val="both"/>
        <w:rPr>
          <w:rFonts w:cstheme="minorHAnsi"/>
          <w:iCs/>
        </w:rPr>
      </w:pPr>
    </w:p>
    <w:p w14:paraId="45AF3BD5" w14:textId="4A7E76FF" w:rsidR="00AD6BD2" w:rsidRPr="000B6D3B" w:rsidRDefault="000B6D3B" w:rsidP="000B6D3B">
      <w:pPr>
        <w:ind w:right="92"/>
        <w:jc w:val="both"/>
        <w:rPr>
          <w:b/>
        </w:rPr>
      </w:pPr>
      <w:r>
        <w:rPr>
          <w:rFonts w:cstheme="minorHAnsi"/>
          <w:iCs/>
        </w:rPr>
        <w:tab/>
      </w:r>
      <w:r>
        <w:rPr>
          <w:rFonts w:cstheme="minorHAnsi"/>
          <w:iCs/>
        </w:rPr>
        <w:tab/>
      </w:r>
      <w:r>
        <w:rPr>
          <w:rFonts w:cstheme="minorHAnsi"/>
          <w:iCs/>
        </w:rPr>
        <w:tab/>
      </w:r>
      <w:r>
        <w:rPr>
          <w:rFonts w:cstheme="minorHAnsi"/>
          <w:iCs/>
        </w:rPr>
        <w:tab/>
      </w:r>
      <w:r>
        <w:rPr>
          <w:rFonts w:cstheme="minorHAnsi"/>
          <w:iCs/>
        </w:rPr>
        <w:tab/>
      </w:r>
      <w:r>
        <w:rPr>
          <w:rFonts w:cstheme="minorHAnsi"/>
          <w:iCs/>
        </w:rPr>
        <w:tab/>
      </w:r>
      <w:r>
        <w:rPr>
          <w:rFonts w:cstheme="minorHAnsi"/>
          <w:iCs/>
        </w:rPr>
        <w:tab/>
      </w:r>
      <w:r>
        <w:rPr>
          <w:rFonts w:cstheme="minorHAnsi"/>
          <w:iCs/>
        </w:rPr>
        <w:tab/>
        <w:t>Mr.sc.Ivica Plišić, dipl.ing.građ.</w:t>
      </w:r>
    </w:p>
    <w:sectPr w:rsidR="00AD6BD2" w:rsidRPr="000B6D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A1C8A"/>
    <w:multiLevelType w:val="hybridMultilevel"/>
    <w:tmpl w:val="377AB6C6"/>
    <w:lvl w:ilvl="0" w:tplc="E1B225EA">
      <w:numFmt w:val="bullet"/>
      <w:lvlText w:val="-"/>
      <w:lvlJc w:val="left"/>
      <w:pPr>
        <w:ind w:left="1080" w:hanging="720"/>
      </w:pPr>
      <w:rPr>
        <w:rFonts w:ascii="Calibri" w:eastAsia="Times New Roman" w:hAnsi="Calibri" w:cs="Times New Roman" w:hint="default"/>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274A0AD6"/>
    <w:multiLevelType w:val="hybridMultilevel"/>
    <w:tmpl w:val="BA3049F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Times New Roman"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Times New Roman"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Times New Roman"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D7A4ACF"/>
    <w:multiLevelType w:val="multilevel"/>
    <w:tmpl w:val="38CC6DD8"/>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4AA24DB"/>
    <w:multiLevelType w:val="multilevel"/>
    <w:tmpl w:val="6E843CF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48B2086D"/>
    <w:multiLevelType w:val="hybridMultilevel"/>
    <w:tmpl w:val="E82223C2"/>
    <w:lvl w:ilvl="0" w:tplc="E1B225EA">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69E4174C"/>
    <w:multiLevelType w:val="multilevel"/>
    <w:tmpl w:val="E2A0DA8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D3B"/>
    <w:rsid w:val="000B6D3B"/>
    <w:rsid w:val="00A47DC5"/>
    <w:rsid w:val="00AD6B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99EBA"/>
  <w15:chartTrackingRefBased/>
  <w15:docId w15:val="{E0D51BD5-63AD-409E-9716-3CC815B7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D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35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4506</Words>
  <Characters>25689</Characters>
  <Application>Microsoft Office Word</Application>
  <DocSecurity>0</DocSecurity>
  <Lines>214</Lines>
  <Paragraphs>60</Paragraphs>
  <ScaleCrop>false</ScaleCrop>
  <Company/>
  <LinksUpToDate>false</LinksUpToDate>
  <CharactersWithSpaces>30135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Srdoč</dc:creator>
  <cp:keywords/>
  <dc:description/>
  <cp:lastModifiedBy>Barbara Srdoč</cp:lastModifiedBy>
  <cp:revision>2</cp:revision>
  <dcterms:created xsi:type="dcterms:W3CDTF">2021-06-11T08:12:00Z</dcterms:created>
  <dcterms:modified xsi:type="dcterms:W3CDTF">2021-07-28T11:11:00Z</dcterms:modified>
</cp:coreProperties>
</file>